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6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66"/>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966"/>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66"/>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966"/>
        <w:ind w:firstLine="2249"/>
        <w:spacing w:before="120" w:beforeAutospacing="0" w:after="120" w:afterAutospacing="0" w:line="360" w:lineRule="auto"/>
        <w:rPr>
          <w:color w:val="auto"/>
          <w:highlight w:val="none"/>
        </w:rPr>
      </w:pPr>
      <w:r>
        <w:rPr>
          <w:color w:val="auto"/>
          <w:highlight w:val="none"/>
        </w:rPr>
      </w:r>
      <w:r/>
    </w:p>
    <w:p>
      <w:pPr>
        <w:pStyle w:val="966"/>
        <w:ind w:firstLine="2249"/>
        <w:spacing w:before="120" w:beforeAutospacing="0" w:after="120" w:afterAutospacing="0" w:line="360" w:lineRule="auto"/>
        <w:rPr>
          <w:color w:val="auto"/>
          <w:highlight w:val="none"/>
        </w:rPr>
      </w:pPr>
      <w:r>
        <w:rPr>
          <w:color w:val="auto"/>
          <w:highlight w:val="none"/>
        </w:rPr>
      </w:r>
      <w:r/>
    </w:p>
    <w:p>
      <w:pPr>
        <w:ind w:firstLine="964"/>
        <w:jc w:val="left"/>
        <w:spacing w:before="120" w:beforeAutospacing="0" w:after="120" w:afterAutospacing="0" w:line="360" w:lineRule="auto"/>
        <w:widowControl w:val="off"/>
        <w:rPr>
          <w:rFonts w:hint="eastAsia" w:asciiTheme="minorEastAsia" w:hAnsiTheme="minorEastAsia" w:eastAsiaTheme="minorEastAsia" w:cstheme="minorEastAsia"/>
          <w:b/>
          <w:bCs/>
          <w:color w:val="auto"/>
          <w:sz w:val="32"/>
          <w:szCs w:val="40"/>
          <w:highlight w:val="none"/>
          <w:lang w:val="en-US" w:eastAsia="zh-CN" w:bidi="ar-SA"/>
        </w:rPr>
      </w:pPr>
      <w:r>
        <w:rPr>
          <w:rFonts w:hint="eastAsia" w:asciiTheme="minorEastAsia" w:hAnsiTheme="minorEastAsia" w:eastAsiaTheme="minorEastAsia" w:cstheme="minorEastAsia"/>
          <w:b/>
          <w:bCs/>
          <w:color w:val="auto"/>
          <w:sz w:val="32"/>
          <w:szCs w:val="40"/>
          <w:highlight w:val="none"/>
          <w:lang w:val="en-US" w:eastAsia="zh-CN" w:bidi="ar-SA"/>
        </w:rPr>
        <w:t xml:space="preserve">项 目 名 称：大丰区2026年学生床采购安装项目</w:t>
      </w:r>
      <w:r/>
    </w:p>
    <w:p>
      <w:pPr>
        <w:ind w:firstLine="964"/>
        <w:rPr>
          <w:rFonts w:hint="default" w:asciiTheme="minorEastAsia" w:hAnsiTheme="minorEastAsia" w:eastAsiaTheme="minorEastAsia" w:cstheme="minorEastAsia"/>
          <w:b/>
          <w:bCs/>
          <w:color w:val="auto"/>
          <w:sz w:val="32"/>
          <w:szCs w:val="40"/>
          <w:highlight w:val="none"/>
          <w:lang w:val="en-US" w:eastAsia="zh-CN" w:bidi="ar-SA"/>
        </w:rPr>
      </w:pPr>
      <w:r>
        <w:rPr>
          <w:rFonts w:hint="eastAsia" w:asciiTheme="minorEastAsia" w:hAnsiTheme="minorEastAsia" w:eastAsiaTheme="minorEastAsia" w:cstheme="minorEastAsia"/>
          <w:b/>
          <w:bCs/>
          <w:color w:val="auto"/>
          <w:sz w:val="32"/>
          <w:szCs w:val="40"/>
          <w:highlight w:val="none"/>
          <w:lang w:val="en-US" w:eastAsia="zh-CN" w:bidi="ar-SA"/>
        </w:rPr>
        <w:t xml:space="preserve">项 目 编 号：JSZC-320904-TAIC-G2026-0003</w:t>
      </w:r>
      <w:r/>
    </w:p>
    <w:p>
      <w:pPr>
        <w:ind w:firstLine="964"/>
        <w:jc w:val="center"/>
        <w:rPr>
          <w:rFonts w:hint="eastAsia" w:asciiTheme="minorHAnsi" w:hAnsiTheme="minorHAnsi" w:eastAsiaTheme="minorEastAsia" w:cstheme="minorBidi"/>
          <w:b/>
          <w:bCs/>
          <w:color w:val="auto"/>
          <w:sz w:val="32"/>
          <w:szCs w:val="40"/>
          <w:highlight w:val="none"/>
          <w:lang w:val="en-US" w:eastAsia="zh-CN" w:bidi="ar-SA"/>
        </w:rPr>
      </w:pPr>
      <w:r>
        <w:rPr>
          <w:rFonts w:hint="eastAsia" w:asciiTheme="minorHAnsi" w:hAnsiTheme="minorHAnsi" w:eastAsiaTheme="minorEastAsia" w:cstheme="minorBidi"/>
          <w:b/>
          <w:bCs/>
          <w:color w:val="auto"/>
          <w:sz w:val="32"/>
          <w:szCs w:val="40"/>
          <w:highlight w:val="none"/>
          <w:lang w:val="en-US" w:eastAsia="zh-CN" w:bidi="ar-SA"/>
        </w:rPr>
      </w:r>
      <w:r/>
    </w:p>
    <w:p>
      <w:pPr>
        <w:ind w:firstLine="964"/>
        <w:jc w:val="center"/>
        <w:rPr>
          <w:rFonts w:hint="eastAsia" w:asciiTheme="minorHAnsi" w:hAnsiTheme="minorHAnsi" w:eastAsiaTheme="minorEastAsia" w:cstheme="minorBidi"/>
          <w:b/>
          <w:bCs/>
          <w:color w:val="auto"/>
          <w:sz w:val="32"/>
          <w:szCs w:val="40"/>
          <w:highlight w:val="none"/>
          <w:lang w:val="en-US" w:eastAsia="zh-CN" w:bidi="ar-SA"/>
        </w:rPr>
      </w:pPr>
      <w:r>
        <w:rPr>
          <w:rFonts w:hint="eastAsia" w:asciiTheme="minorHAnsi" w:hAnsiTheme="minorHAnsi" w:eastAsiaTheme="minorEastAsia" w:cstheme="minorBidi"/>
          <w:b/>
          <w:bCs/>
          <w:color w:val="auto"/>
          <w:sz w:val="32"/>
          <w:szCs w:val="40"/>
          <w:highlight w:val="none"/>
          <w:lang w:val="en-US" w:eastAsia="zh-CN" w:bidi="ar-SA"/>
        </w:rPr>
      </w:r>
      <w:r/>
    </w:p>
    <w:p>
      <w:pPr>
        <w:ind w:firstLine="964"/>
        <w:jc w:val="center"/>
        <w:rPr>
          <w:rFonts w:hint="eastAsia" w:asciiTheme="minorHAnsi" w:hAnsiTheme="minorHAnsi" w:eastAsiaTheme="minorEastAsia" w:cstheme="minorBidi"/>
          <w:b/>
          <w:bCs/>
          <w:color w:val="auto"/>
          <w:sz w:val="32"/>
          <w:szCs w:val="40"/>
          <w:highlight w:val="none"/>
          <w:lang w:val="en-US" w:eastAsia="zh-CN" w:bidi="ar-SA"/>
        </w:rPr>
      </w:pPr>
      <w:r>
        <w:rPr>
          <w:rFonts w:hint="eastAsia" w:asciiTheme="minorHAnsi" w:hAnsiTheme="minorHAnsi" w:eastAsiaTheme="minorEastAsia" w:cstheme="minorBidi"/>
          <w:b/>
          <w:bCs/>
          <w:color w:val="auto"/>
          <w:sz w:val="32"/>
          <w:szCs w:val="40"/>
          <w:highlight w:val="none"/>
          <w:lang w:val="en-US" w:eastAsia="zh-CN" w:bidi="ar-SA"/>
        </w:rPr>
      </w:r>
      <w:r/>
    </w:p>
    <w:p>
      <w:pPr>
        <w:ind w:firstLine="964"/>
        <w:jc w:val="center"/>
        <w:rPr>
          <w:rFonts w:hint="eastAsia" w:asciiTheme="minorHAnsi" w:hAnsiTheme="minorHAnsi" w:eastAsiaTheme="minorEastAsia" w:cstheme="minorBidi"/>
          <w:b/>
          <w:bCs/>
          <w:color w:val="auto"/>
          <w:sz w:val="32"/>
          <w:szCs w:val="40"/>
          <w:highlight w:val="none"/>
          <w:lang w:val="en-US" w:eastAsia="zh-CN" w:bidi="ar-SA"/>
        </w:rPr>
      </w:pPr>
      <w:r>
        <w:rPr>
          <w:rFonts w:hint="eastAsia" w:asciiTheme="minorHAnsi" w:hAnsiTheme="minorHAnsi" w:eastAsiaTheme="minorEastAsia" w:cstheme="minorBidi"/>
          <w:b/>
          <w:bCs/>
          <w:color w:val="auto"/>
          <w:sz w:val="32"/>
          <w:szCs w:val="40"/>
          <w:highlight w:val="none"/>
          <w:lang w:val="en-US" w:eastAsia="zh-CN" w:bidi="ar-SA"/>
        </w:rPr>
      </w:r>
      <w:r/>
    </w:p>
    <w:p>
      <w:pPr>
        <w:ind w:firstLine="640"/>
        <w:jc w:val="left"/>
        <w:rPr>
          <w:rFonts w:hint="default" w:asciiTheme="minorEastAsia" w:hAnsiTheme="minorEastAsia" w:eastAsiaTheme="minorEastAsia" w:cstheme="minorEastAsia"/>
          <w:b w:val="0"/>
          <w:bCs w:val="0"/>
          <w:color w:val="auto"/>
          <w:sz w:val="32"/>
          <w:szCs w:val="40"/>
          <w:highlight w:val="none"/>
          <w:lang w:val="en-US" w:eastAsia="zh-CN" w:bidi="ar-SA"/>
        </w:rPr>
      </w:pPr>
      <w:r>
        <w:rPr>
          <w:rFonts w:hint="eastAsia" w:asciiTheme="minorEastAsia" w:hAnsiTheme="minorEastAsia" w:cstheme="minorEastAsia"/>
          <w:b w:val="0"/>
          <w:bCs w:val="0"/>
          <w:color w:val="auto"/>
          <w:sz w:val="32"/>
          <w:szCs w:val="40"/>
          <w:highlight w:val="none"/>
          <w:lang w:val="en-US" w:eastAsia="zh-CN" w:bidi="ar-SA"/>
        </w:rPr>
        <w:t xml:space="preserve">采   购   人：</w:t>
      </w:r>
      <w:r>
        <w:rPr>
          <w:rFonts w:hint="eastAsia" w:asciiTheme="minorEastAsia" w:hAnsiTheme="minorEastAsia" w:cstheme="minorEastAsia"/>
          <w:b w:val="0"/>
          <w:bCs w:val="0"/>
          <w:color w:val="auto"/>
          <w:sz w:val="32"/>
          <w:szCs w:val="40"/>
          <w:highlight w:val="none"/>
          <w:u w:val="single"/>
          <w:lang w:val="en-US" w:eastAsia="zh-CN" w:bidi="ar-SA"/>
        </w:rPr>
        <w:t xml:space="preserve">      </w:t>
      </w:r>
      <w:r>
        <w:rPr>
          <w:rFonts w:hint="eastAsia" w:asciiTheme="minorEastAsia" w:hAnsiTheme="minorEastAsia" w:eastAsiaTheme="minorEastAsia" w:cstheme="minorEastAsia"/>
          <w:b w:val="0"/>
          <w:bCs w:val="0"/>
          <w:color w:val="auto"/>
          <w:sz w:val="32"/>
          <w:szCs w:val="40"/>
          <w:highlight w:val="none"/>
          <w:u w:val="single"/>
          <w:lang w:val="en-US" w:eastAsia="zh-CN" w:bidi="ar-SA"/>
        </w:rPr>
        <w:t xml:space="preserve">盐城市大丰区教育局</w:t>
      </w:r>
      <w:r>
        <w:rPr>
          <w:rFonts w:hint="eastAsia" w:asciiTheme="minorEastAsia" w:hAnsiTheme="minorEastAsia" w:cstheme="minorEastAsia"/>
          <w:b w:val="0"/>
          <w:bCs w:val="0"/>
          <w:color w:val="auto"/>
          <w:sz w:val="32"/>
          <w:szCs w:val="40"/>
          <w:highlight w:val="none"/>
          <w:u w:val="single"/>
          <w:lang w:val="en-US" w:eastAsia="zh-CN" w:bidi="ar-SA"/>
        </w:rPr>
        <w:t xml:space="preserve">      </w:t>
      </w:r>
      <w:r/>
    </w:p>
    <w:p>
      <w:pPr>
        <w:ind w:firstLine="640"/>
        <w:jc w:val="left"/>
        <w:rPr>
          <w:rFonts w:hint="default" w:asciiTheme="minorEastAsia" w:hAnsiTheme="minorEastAsia" w:eastAsiaTheme="minorEastAsia" w:cstheme="minorEastAsia"/>
          <w:b w:val="0"/>
          <w:bCs w:val="0"/>
          <w:color w:val="auto"/>
          <w:sz w:val="32"/>
          <w:szCs w:val="40"/>
          <w:highlight w:val="none"/>
          <w:lang w:val="en-US" w:eastAsia="zh-CN" w:bidi="ar-SA"/>
        </w:rPr>
      </w:pPr>
      <w:r>
        <w:rPr>
          <w:rFonts w:hint="eastAsia" w:asciiTheme="minorEastAsia" w:hAnsiTheme="minorEastAsia" w:cstheme="minorEastAsia"/>
          <w:b w:val="0"/>
          <w:bCs w:val="0"/>
          <w:color w:val="auto"/>
          <w:sz w:val="32"/>
          <w:szCs w:val="40"/>
          <w:highlight w:val="none"/>
          <w:lang w:val="en-US" w:eastAsia="zh-CN" w:bidi="ar-SA"/>
        </w:rPr>
        <w:t xml:space="preserve">采购代理机构：</w:t>
      </w:r>
      <w:r>
        <w:rPr>
          <w:rFonts w:hint="eastAsia" w:asciiTheme="minorEastAsia" w:hAnsiTheme="minorEastAsia" w:cstheme="minorEastAsia"/>
          <w:b w:val="0"/>
          <w:bCs w:val="0"/>
          <w:color w:val="auto"/>
          <w:sz w:val="32"/>
          <w:szCs w:val="40"/>
          <w:highlight w:val="none"/>
          <w:u w:val="single"/>
          <w:lang w:val="en-US" w:eastAsia="zh-CN" w:bidi="ar-SA"/>
        </w:rPr>
        <w:t xml:space="preserve">  盐城市泰辰工程造价有限公司  </w:t>
      </w:r>
      <w:r/>
    </w:p>
    <w:p>
      <w:pPr>
        <w:ind w:firstLine="3520"/>
        <w:jc w:val="both"/>
        <w:spacing w:before="120" w:beforeAutospacing="0" w:after="120" w:afterAutospacing="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32"/>
          <w:szCs w:val="32"/>
          <w:highlight w:val="none"/>
          <w:u w:val="none"/>
          <w:lang w:val="en-US" w:eastAsia="zh-CN" w:bidi="ar-SA"/>
        </w:rPr>
        <w:t xml:space="preserve">202</w:t>
      </w:r>
      <w:r>
        <w:rPr>
          <w:rFonts w:hint="eastAsia" w:asciiTheme="minorEastAsia" w:hAnsiTheme="minorEastAsia" w:cstheme="minorEastAsia"/>
          <w:b w:val="0"/>
          <w:bCs w:val="0"/>
          <w:color w:val="auto"/>
          <w:sz w:val="32"/>
          <w:szCs w:val="32"/>
          <w:highlight w:val="none"/>
          <w:u w:val="none"/>
          <w:lang w:val="en-US" w:eastAsia="zh-CN" w:bidi="ar-SA"/>
        </w:rPr>
        <w:t xml:space="preserve">6</w:t>
      </w:r>
      <w:r>
        <w:rPr>
          <w:rFonts w:hint="eastAsia" w:asciiTheme="minorEastAsia" w:hAnsiTheme="minorEastAsia" w:eastAsiaTheme="minorEastAsia" w:cstheme="minorEastAsia"/>
          <w:b w:val="0"/>
          <w:bCs w:val="0"/>
          <w:color w:val="auto"/>
          <w:sz w:val="32"/>
          <w:szCs w:val="32"/>
          <w:highlight w:val="none"/>
          <w:lang w:val="en-US" w:eastAsia="zh-CN" w:bidi="ar-SA"/>
        </w:rPr>
        <w:t xml:space="preserve">年</w:t>
      </w:r>
      <w:r>
        <w:rPr>
          <w:rFonts w:hint="eastAsia" w:asciiTheme="minorEastAsia" w:hAnsiTheme="minorEastAsia" w:cstheme="minorEastAsia"/>
          <w:b w:val="0"/>
          <w:bCs w:val="0"/>
          <w:color w:val="auto"/>
          <w:sz w:val="32"/>
          <w:szCs w:val="32"/>
          <w:highlight w:val="none"/>
          <w:u w:val="none"/>
          <w:lang w:val="en-US" w:eastAsia="zh-CN" w:bidi="ar-SA"/>
        </w:rPr>
        <w:t xml:space="preserve">5</w:t>
      </w:r>
      <w:r>
        <w:rPr>
          <w:rFonts w:hint="eastAsia" w:asciiTheme="minorEastAsia" w:hAnsiTheme="minorEastAsia" w:eastAsiaTheme="minorEastAsia" w:cstheme="minorEastAsia"/>
          <w:b w:val="0"/>
          <w:bCs w:val="0"/>
          <w:color w:val="auto"/>
          <w:sz w:val="32"/>
          <w:szCs w:val="32"/>
          <w:highlight w:val="none"/>
          <w:lang w:val="en-US" w:eastAsia="zh-CN" w:bidi="ar-SA"/>
        </w:rPr>
        <w:t xml:space="preserve">月</w:t>
      </w:r>
      <w:r/>
    </w:p>
    <w:p>
      <w:pPr>
        <w:pStyle w:val="96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966"/>
        <w:jc w:val="center"/>
        <w:spacing w:before="120" w:beforeAutospacing="0" w:after="120" w:afterAutospacing="0" w:line="360" w:lineRule="auto"/>
        <w:rPr>
          <w:color w:val="auto"/>
          <w:highlight w:val="none"/>
        </w:rPr>
      </w:pPr>
      <w:r>
        <w:rPr>
          <w:color w:val="auto"/>
          <w:highlight w:val="none"/>
        </w:rPr>
        <w:t xml:space="preserve"> </w:t>
      </w:r>
      <w:r/>
    </w:p>
    <w:p>
      <w:pPr>
        <w:pStyle w:val="966"/>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96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0" w:name="_Toc16938516"/>
      <w:r/>
      <w:bookmarkStart w:id="1" w:name="_Toc479757206"/>
      <w:r/>
      <w:bookmarkStart w:id="2" w:name="_Toc513029200"/>
      <w:r/>
      <w:bookmarkStart w:id="3" w:name="_Toc20823272"/>
      <w:r/>
      <w:bookmarkStart w:id="4" w:name="_Toc120614210"/>
      <w:r/>
      <w:bookmarkStart w:id="5" w:name="_Toc523127445"/>
      <w:r/>
      <w:r/>
    </w:p>
    <w:p>
      <w:pPr>
        <w:pStyle w:val="966"/>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66"/>
        <w:jc w:val="both"/>
        <w:spacing w:beforeAutospacing="0" w:afterAutospacing="0" w:line="480" w:lineRule="auto"/>
        <w:rPr>
          <w:color w:val="auto"/>
          <w:highlight w:val="none"/>
        </w:rPr>
      </w:pPr>
      <w:r>
        <w:rPr>
          <w:color w:val="auto"/>
          <w:highlight w:val="none"/>
        </w:rPr>
        <w:t xml:space="preserve"> </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第一章  招标公告 </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第二章  投标人须知  </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第三章  合同文本</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第四章  采购需求</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第五章  评标方法与评标标准</w:t>
      </w:r>
      <w:r/>
    </w:p>
    <w:p>
      <w:pPr>
        <w:pStyle w:val="96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第六章  投标文件格式</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pPr>
      <w:r>
        <w:rPr>
          <w:color w:val="auto"/>
          <w:highlight w:val="none"/>
        </w:rPr>
        <w:t xml:space="preserve"> </w:t>
      </w:r>
      <w:r/>
    </w:p>
    <w:p>
      <w:pPr>
        <w:pStyle w:val="966"/>
        <w:jc w:val="both"/>
        <w:spacing w:beforeAutospacing="0" w:afterAutospacing="0"/>
        <w:rPr>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highlight w:val="none"/>
        </w:rPr>
      </w:r>
      <w:r/>
    </w:p>
    <w:p>
      <w:pPr>
        <w:pStyle w:val="966"/>
        <w:jc w:val="both"/>
        <w:spacing w:beforeAutospacing="0" w:afterAutospacing="0"/>
        <w:rPr>
          <w:color w:val="auto"/>
          <w:highlight w:val="none"/>
        </w:rPr>
      </w:pPr>
      <w:r>
        <w:rPr>
          <w:color w:val="auto"/>
          <w:highlight w:val="none"/>
        </w:rPr>
        <w:t xml:space="preserve"> </w:t>
      </w:r>
      <w:r/>
    </w:p>
    <w:p>
      <w:pPr>
        <w:pStyle w:val="966"/>
        <w:jc w:val="center"/>
        <w:keepNext/>
        <w:spacing w:beforeAutospacing="0" w:afterAutospacing="0"/>
        <w:rPr>
          <w:rFonts w:eastAsia="黑体"/>
          <w:color w:val="auto"/>
          <w:highlight w:val="none"/>
        </w:rPr>
      </w:pPr>
      <w:r>
        <w:rPr>
          <w:rFonts w:hint="eastAsia" w:ascii="黑体" w:hAnsi="宋体" w:eastAsia="黑体" w:cs="黑体"/>
          <w:color w:val="auto"/>
          <w:sz w:val="44"/>
          <w:szCs w:val="44"/>
          <w:highlight w:val="none"/>
        </w:rPr>
        <w:t xml:space="preserve">第一章 招标公告</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auto"/>
          <w:highlight w:val="none"/>
          <w:u w:val="single"/>
          <w:lang w:eastAsia="zh-CN"/>
        </w:rPr>
        <w:t xml:space="preserve">大丰区2026年学生床采购安装项目</w:t>
      </w:r>
      <w:r>
        <w:rPr>
          <w:rFonts w:hint="eastAsia"/>
          <w:color w:val="auto"/>
          <w:highlight w:val="none"/>
        </w:rPr>
        <w:t xml:space="preserve">（</w:t>
      </w:r>
      <w:r>
        <w:rPr>
          <w:rFonts w:hint="eastAsia" w:ascii="宋体" w:hAnsi="宋体" w:eastAsia="宋体" w:cs="宋体"/>
          <w:color w:val="auto"/>
          <w:highlight w:val="none"/>
          <w:shd w:val="clear" w:color="auto" w:fill="ffffff"/>
          <w:lang w:val="en-US" w:eastAsia="zh-CN"/>
        </w:rPr>
        <w:t xml:space="preserve">JSZC-320904-TAIC-G2026-0003</w:t>
      </w:r>
      <w:r>
        <w:rPr>
          <w:rFonts w:hint="eastAsia"/>
          <w:color w:val="auto"/>
          <w:highlight w:val="none"/>
          <w:lang w:val="en-US" w:eastAsia="zh-CN"/>
        </w:rPr>
        <w:t xml:space="preserve">）</w:t>
      </w:r>
      <w:r>
        <w:rPr>
          <w:rFonts w:hint="eastAsia"/>
          <w:color w:val="auto"/>
          <w:highlight w:val="none"/>
        </w:rPr>
        <w:t xml:space="preserve">招标项目</w:t>
      </w:r>
      <w:r>
        <w:rPr>
          <w:rFonts w:hint="eastAsia" w:ascii="宋体" w:hAnsi="宋体" w:eastAsia="宋体" w:cs="宋体"/>
          <w:color w:val="auto"/>
          <w:highlight w:val="none"/>
        </w:rPr>
        <w:t xml:space="preserve">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年</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27</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 9</w:t>
      </w:r>
      <w:r>
        <w:rPr>
          <w:rFonts w:hint="eastAsia"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 30</w:t>
      </w:r>
      <w:r>
        <w:rPr>
          <w:rFonts w:hint="eastAsia" w:ascii="宋体" w:hAnsi="宋体" w:eastAsia="宋体" w:cs="宋体"/>
          <w:color w:val="auto"/>
          <w:highlight w:val="none"/>
          <w:u w:val="single"/>
        </w:rPr>
        <w:t xml:space="preserve">分（</w:t>
      </w:r>
      <w:r>
        <w:rPr>
          <w:rFonts w:hint="eastAsia" w:ascii="宋体" w:hAnsi="宋体" w:eastAsia="宋体" w:cs="宋体"/>
          <w:color w:val="auto"/>
          <w:highlight w:val="none"/>
        </w:rPr>
        <w:t xml:space="preserve">北京时间）前递交投标文件。</w:t>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bookmarkStart w:id="6" w:name="_Toc35393790"/>
      <w:r/>
      <w:bookmarkStart w:id="7" w:name="_Toc28359079"/>
      <w:r/>
      <w:bookmarkStart w:id="8" w:name="_Toc28359002"/>
      <w:r/>
      <w:bookmarkStart w:id="9" w:name="_Toc35393621"/>
      <w:r/>
      <w:bookmarkStart w:id="10" w:name="_Hlk24379207"/>
      <w:r/>
      <w:bookmarkStart w:id="11" w:name="_Toc38985263"/>
      <w:r>
        <w:rPr>
          <w:rFonts w:hint="eastAsia" w:ascii="宋体" w:hAnsi="宋体" w:eastAsia="宋体" w:cs="宋体"/>
          <w:b/>
          <w:color w:val="auto"/>
          <w:highlight w:val="none"/>
        </w:rPr>
        <w:t xml:space="preserve">一、项目基本情况</w:t>
      </w:r>
      <w:bookmarkEnd w:id="6"/>
      <w:r/>
      <w:bookmarkEnd w:id="7"/>
      <w:r/>
      <w:bookmarkEnd w:id="8"/>
      <w:r/>
      <w:bookmarkEnd w:id="9"/>
      <w:r/>
      <w:bookmarkEnd w:id="10"/>
      <w:r/>
      <w:bookmarkEnd w:id="11"/>
      <w:r/>
      <w:r/>
    </w:p>
    <w:p>
      <w:pPr>
        <w:pStyle w:val="966"/>
        <w:ind w:firstLine="480"/>
        <w:jc w:val="both"/>
        <w:pageBreakBefore w:val="0"/>
        <w:spacing w:beforeAutospacing="0" w:afterAutospacing="0" w:line="348"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shd w:val="clear" w:color="auto" w:fill="ffffff"/>
          <w:lang w:val="en-US" w:eastAsia="zh-CN"/>
        </w:rPr>
        <w:t xml:space="preserve">JSZC-320904-TAIC-G2026-0003</w:t>
      </w:r>
      <w:r/>
    </w:p>
    <w:p>
      <w:pPr>
        <w:pStyle w:val="966"/>
        <w:ind w:firstLine="480"/>
        <w:jc w:val="both"/>
        <w:pageBreakBefore w:val="0"/>
        <w:spacing w:beforeAutospacing="0" w:afterAutospacing="0" w:line="34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大丰区2026年学生床采购安装项目</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3.采购方式：公开招标</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4.预算金额：人民币</w:t>
      </w:r>
      <w:r>
        <w:rPr>
          <w:rFonts w:hint="eastAsia" w:ascii="宋体" w:hAnsi="宋体" w:eastAsia="宋体" w:cs="宋体"/>
          <w:color w:val="auto"/>
          <w:highlight w:val="none"/>
          <w:lang w:val="en-US" w:eastAsia="zh-CN"/>
        </w:rPr>
        <w:t xml:space="preserve">2455520</w:t>
      </w:r>
      <w:r>
        <w:rPr>
          <w:rFonts w:hint="eastAsia" w:ascii="宋体" w:hAnsi="宋体" w:eastAsia="宋体" w:cs="宋体"/>
          <w:color w:val="auto"/>
          <w:highlight w:val="none"/>
        </w:rPr>
        <w:t xml:space="preserve">.00元</w:t>
      </w:r>
      <w:bookmarkStart w:id="204" w:name="_GoBack"/>
      <w:r/>
      <w:bookmarkEnd w:id="204"/>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5.最高限价：人民币</w:t>
      </w:r>
      <w:r>
        <w:rPr>
          <w:rFonts w:hint="eastAsia" w:ascii="宋体" w:hAnsi="宋体" w:eastAsia="宋体" w:cs="宋体"/>
          <w:color w:val="auto"/>
          <w:highlight w:val="none"/>
          <w:lang w:val="en-US" w:eastAsia="zh-CN"/>
        </w:rPr>
        <w:t xml:space="preserve">2455520</w:t>
      </w:r>
      <w:r>
        <w:rPr>
          <w:rFonts w:hint="eastAsia" w:ascii="宋体" w:hAnsi="宋体" w:eastAsia="宋体" w:cs="宋体"/>
          <w:color w:val="auto"/>
          <w:highlight w:val="none"/>
        </w:rPr>
        <w:t xml:space="preserve">.00元</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6.采购需求：全区</w:t>
      </w:r>
      <w:r>
        <w:rPr>
          <w:rFonts w:hint="eastAsia" w:ascii="宋体" w:hAnsi="宋体" w:eastAsia="宋体" w:cs="宋体"/>
          <w:color w:val="auto"/>
          <w:highlight w:val="none"/>
          <w:lang w:val="en-US" w:eastAsia="zh-CN"/>
        </w:rPr>
        <w:t xml:space="preserve">19所乡镇中学824套学生床采购，</w:t>
      </w:r>
      <w:r>
        <w:rPr>
          <w:rFonts w:hint="eastAsia" w:ascii="宋体" w:hAnsi="宋体" w:eastAsia="宋体" w:cs="宋体"/>
          <w:color w:val="auto"/>
          <w:highlight w:val="none"/>
        </w:rPr>
        <w:t xml:space="preserve">详细内容见本招标文件第四章。</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7.合同履行期限：自本合同签订之日起60日历天内完成本项目全部货物的采购、供应、运输、安装、调试等相关伴随服务，并通过甲方的验收。</w:t>
      </w:r>
      <w:r/>
    </w:p>
    <w:p>
      <w:pPr>
        <w:pStyle w:val="966"/>
        <w:ind w:firstLine="480"/>
        <w:jc w:val="both"/>
        <w:pageBreakBefore w:val="0"/>
        <w:spacing w:beforeAutospacing="0" w:afterAutospacing="0" w:line="348"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en-US" w:eastAsia="zh-CN"/>
        </w:rPr>
        <w:t xml:space="preserve">免费质保期：三年（自验收合格之日起计）</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本项目（是/否）接受联合体投标：否</w:t>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bookmarkStart w:id="12" w:name="_Toc38985264"/>
      <w:r/>
      <w:bookmarkStart w:id="13" w:name="_Toc28359080"/>
      <w:r/>
      <w:bookmarkStart w:id="14" w:name="_Toc28359003"/>
      <w:r/>
      <w:bookmarkStart w:id="15" w:name="_Toc35393791"/>
      <w:r/>
      <w:bookmarkStart w:id="16" w:name="_Toc35393622"/>
      <w:r>
        <w:rPr>
          <w:rFonts w:hint="eastAsia" w:ascii="宋体" w:hAnsi="宋体" w:eastAsia="宋体" w:cs="宋体"/>
          <w:b/>
          <w:color w:val="auto"/>
          <w:highlight w:val="none"/>
        </w:rPr>
        <w:t xml:space="preserve">二、申请人的资格要求：</w:t>
      </w:r>
      <w:bookmarkEnd w:id="12"/>
      <w:r/>
      <w:bookmarkEnd w:id="13"/>
      <w:r/>
      <w:bookmarkEnd w:id="14"/>
      <w:r/>
      <w:bookmarkEnd w:id="15"/>
      <w:r/>
      <w:bookmarkEnd w:id="16"/>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 2024年或2025年</w:t>
      </w:r>
      <w:r>
        <w:rPr>
          <w:rFonts w:hint="eastAsia" w:ascii="宋体" w:hAnsi="宋体" w:eastAsia="宋体" w:cs="宋体"/>
          <w:color w:val="auto"/>
          <w:highlight w:val="none"/>
        </w:rPr>
        <w:t xml:space="preserve">财务状况报告（</w:t>
      </w:r>
      <w:r>
        <w:rPr>
          <w:rFonts w:ascii="SimSun" w:hAnsi="SimSun" w:eastAsia="SimSun" w:cs="SimSun"/>
          <w:color w:val="000000"/>
          <w:sz w:val="24"/>
          <w:szCs w:val="24"/>
        </w:rPr>
        <w:t xml:space="preserve">至少提供资产负债表、利润表、现金流量表，</w:t>
      </w:r>
      <w:r>
        <w:rPr>
          <w:rFonts w:hint="eastAsia" w:ascii="宋体" w:hAnsi="宋体" w:eastAsia="宋体" w:cs="宋体"/>
          <w:color w:val="auto"/>
          <w:highlight w:val="none"/>
        </w:rPr>
        <w:t xml:space="preserve">成立不满一年无需提供）；</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highlight w:val="none"/>
          <w:lang w:val="en-US" w:eastAsia="zh-CN"/>
        </w:rPr>
        <w:t xml:space="preserve">投标</w:t>
      </w:r>
      <w:r>
        <w:rPr>
          <w:rFonts w:hint="eastAsia" w:ascii="宋体" w:hAnsi="宋体" w:eastAsia="宋体" w:cs="宋体"/>
          <w:color w:val="auto"/>
          <w:highlight w:val="none"/>
        </w:rPr>
        <w:t xml:space="preserve">文件中无需提供证明材料）</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highlight w:val="none"/>
        </w:rPr>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966"/>
        <w:ind w:firstLine="480"/>
        <w:jc w:val="both"/>
        <w:pageBreakBefore w:val="0"/>
        <w:spacing w:beforeAutospacing="0" w:afterAutospacing="0" w:line="34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966"/>
        <w:ind w:firstLine="480"/>
        <w:jc w:val="both"/>
        <w:pageBreakBefore w:val="0"/>
        <w:spacing w:beforeAutospacing="0" w:afterAutospacing="0" w:line="348" w:lineRule="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3.本项目的特定资格要求：</w:t>
      </w:r>
      <w:r>
        <w:rPr>
          <w:rFonts w:hint="eastAsia" w:ascii="宋体" w:hAnsi="宋体" w:eastAsia="宋体" w:cs="宋体"/>
          <w:color w:val="auto"/>
          <w:highlight w:val="none"/>
          <w:u w:val="single"/>
          <w:lang w:val="en-US" w:eastAsia="zh-CN"/>
        </w:rPr>
        <w:t xml:space="preserve"> 无 </w:t>
      </w:r>
      <w:r>
        <w:rPr>
          <w:rFonts w:hint="eastAsia" w:ascii="宋体" w:hAnsi="宋体" w:eastAsia="宋体" w:cs="宋体"/>
          <w:color w:val="auto"/>
          <w:highlight w:val="none"/>
          <w:u w:val="none"/>
          <w:lang w:val="en-US" w:eastAsia="zh-CN"/>
        </w:rPr>
        <w:t xml:space="preserve">。</w:t>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ind w:firstLine="480"/>
        <w:jc w:val="left"/>
        <w:pageBreakBefore w:val="0"/>
        <w:spacing w:line="348" w:lineRule="auto"/>
        <w:widowControl/>
        <w:rPr>
          <w:rFonts w:hint="eastAsia" w:ascii="宋体" w:hAnsi="宋体" w:eastAsia="宋体" w:cs="宋体"/>
          <w:color w:val="auto"/>
          <w:sz w:val="24"/>
          <w:highlight w:val="none"/>
        </w:rPr>
      </w:pPr>
      <w:r/>
      <w:bookmarkStart w:id="17" w:name="_Toc35393793"/>
      <w:r/>
      <w:bookmarkStart w:id="18" w:name="_Toc35393624"/>
      <w:r/>
      <w:bookmarkStart w:id="19" w:name="_Toc38985266"/>
      <w:r/>
      <w:bookmarkStart w:id="20" w:name="_Toc28359005"/>
      <w:r/>
      <w:bookmarkStart w:id="21" w:name="_Toc28359082"/>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w:t>
      </w:r>
      <w:bookmarkEnd w:id="17"/>
      <w:r/>
      <w:bookmarkEnd w:id="18"/>
      <w:r/>
      <w:bookmarkEnd w:id="19"/>
      <w:r/>
      <w:bookmarkEnd w:id="20"/>
      <w:r/>
      <w:bookmarkEnd w:id="21"/>
      <w:r>
        <w:rPr>
          <w:rFonts w:hint="eastAsia" w:ascii="宋体" w:hAnsi="宋体" w:eastAsia="宋体" w:cs="宋体"/>
          <w:color w:val="auto"/>
          <w:sz w:val="24"/>
          <w:highlight w:val="none"/>
        </w:rPr>
        <w:t xml:space="preserve">自招标文件公告发布之日起5个工作日。</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w:t>
      </w:r>
      <w:r>
        <w:rPr>
          <w:rFonts w:hint="eastAsia" w:ascii="宋体" w:hAnsi="宋体" w:eastAsia="宋体" w:cs="宋体"/>
          <w:color w:val="auto"/>
          <w:sz w:val="24"/>
          <w:szCs w:val="20"/>
          <w:highlight w:val="none"/>
        </w:rPr>
        <w:t xml:space="preserve">（网址：http://jszfcg.jsczt.cn/）</w:t>
      </w:r>
      <w:r>
        <w:rPr>
          <w:rFonts w:hint="eastAsia" w:ascii="宋体" w:hAnsi="宋体" w:eastAsia="宋体" w:cs="宋体"/>
          <w:color w:val="auto"/>
          <w:sz w:val="24"/>
          <w:highlight w:val="none"/>
        </w:rPr>
        <w:t xml:space="preserve">内免费下载（投标人必须在苏采云系统中获取采购文件，方能参与政府采购项目）；</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3.方式：网上注册登记成功后苏采云系统内免费下载。 </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202</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27</w:t>
      </w:r>
      <w:r>
        <w:rPr>
          <w:rFonts w:hint="eastAsia" w:ascii="宋体" w:hAnsi="宋体" w:eastAsia="宋体" w:cs="宋体"/>
          <w:color w:val="auto"/>
          <w:sz w:val="24"/>
          <w:highlight w:val="none"/>
          <w:u w:val="single"/>
        </w:rPr>
        <w:t xml:space="preserve">日 </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rPr>
        <w:t xml:space="preserve">点</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rPr>
        <w:t xml:space="preserve">分</w:t>
      </w:r>
      <w:r>
        <w:rPr>
          <w:rFonts w:hint="eastAsia" w:ascii="宋体" w:hAnsi="宋体" w:eastAsia="宋体" w:cs="宋体"/>
          <w:color w:val="auto"/>
          <w:sz w:val="24"/>
          <w:highlight w:val="none"/>
        </w:rPr>
        <w:t xml:space="preserve">（北京时间）</w:t>
      </w:r>
      <w:r/>
    </w:p>
    <w:p>
      <w:pPr>
        <w:ind w:firstLine="480"/>
        <w:jc w:val="left"/>
        <w:pageBreakBefore w:val="0"/>
        <w:spacing w:line="348"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szCs w:val="20"/>
          <w:highlight w:val="none"/>
        </w:rPr>
        <w:t xml:space="preserve">“苏采云”系统（网址：http://jszfcg.jsczt.cn/）“开标大厅”。</w:t>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bookmarkStart w:id="22" w:name="_Toc35393625"/>
      <w:r/>
      <w:bookmarkStart w:id="23" w:name="_Toc35393794"/>
      <w:r/>
      <w:bookmarkStart w:id="24" w:name="_Toc28359084"/>
      <w:r/>
      <w:bookmarkStart w:id="25" w:name="_Toc38985267"/>
      <w:r/>
      <w:bookmarkStart w:id="26" w:name="_Toc28359007"/>
      <w:r>
        <w:rPr>
          <w:rFonts w:hint="eastAsia" w:ascii="宋体" w:hAnsi="宋体" w:eastAsia="宋体" w:cs="宋体"/>
          <w:b/>
          <w:color w:val="auto"/>
          <w:highlight w:val="none"/>
        </w:rPr>
        <w:t xml:space="preserve">五、公告期限</w:t>
      </w:r>
      <w:bookmarkEnd w:id="22"/>
      <w:r/>
      <w:bookmarkEnd w:id="23"/>
      <w:r/>
      <w:bookmarkEnd w:id="24"/>
      <w:r/>
      <w:bookmarkEnd w:id="25"/>
      <w:r/>
      <w:bookmarkEnd w:id="26"/>
      <w:r/>
      <w:r/>
    </w:p>
    <w:p>
      <w:pPr>
        <w:pStyle w:val="966"/>
        <w:ind w:firstLine="560"/>
        <w:jc w:val="both"/>
        <w:pageBreakBefore w:val="0"/>
        <w:spacing w:beforeAutospacing="0" w:afterAutospacing="0" w:line="348" w:lineRule="auto"/>
        <w:shd w:val="clear" w:color="auto" w:fill="ffffff"/>
        <w:widowControl/>
        <w:rPr>
          <w:rFonts w:hint="eastAsia" w:ascii="宋体" w:hAnsi="宋体" w:eastAsia="宋体" w:cs="宋体"/>
          <w:color w:val="auto"/>
          <w:highlight w:val="none"/>
          <w:shd w:val="clear" w:color="auto" w:fill="ffffff"/>
        </w:rPr>
      </w:pPr>
      <w:r/>
      <w:bookmarkStart w:id="27" w:name="_Toc35393626"/>
      <w:r/>
      <w:bookmarkStart w:id="28" w:name="_Toc38985268"/>
      <w:r/>
      <w:bookmarkStart w:id="29" w:name="_Toc35393795"/>
      <w:r>
        <w:rPr>
          <w:rFonts w:hint="eastAsia" w:ascii="宋体" w:hAnsi="宋体" w:eastAsia="宋体" w:cs="宋体"/>
          <w:color w:val="auto"/>
          <w:highlight w:val="none"/>
        </w:rPr>
        <w:t xml:space="preserve">自本公告发布之日起5个工作日。</w:t>
      </w:r>
      <w:bookmarkEnd w:id="27"/>
      <w:r/>
      <w:bookmarkEnd w:id="28"/>
      <w:r/>
      <w:bookmarkEnd w:id="29"/>
      <w:r/>
      <w:r/>
    </w:p>
    <w:p>
      <w:pPr>
        <w:pStyle w:val="966"/>
        <w:ind w:firstLine="498"/>
        <w:jc w:val="both"/>
        <w:keepLines/>
        <w:keepNext/>
        <w:pageBreakBefore w:val="0"/>
        <w:spacing w:before="145" w:beforeAutospacing="0" w:after="145" w:afterAutospacing="0" w:line="348"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val="en-US" w:eastAsia="zh-CN"/>
        </w:rPr>
      </w:pPr>
      <w:r/>
      <w:bookmarkStart w:id="30" w:name="_Toc28359018"/>
      <w:r>
        <w:rPr>
          <w:rFonts w:hint="eastAsia" w:ascii="宋体" w:hAnsi="宋体" w:eastAsia="宋体" w:cs="宋体"/>
          <w:color w:val="auto"/>
          <w:sz w:val="24"/>
          <w:szCs w:val="24"/>
          <w:highlight w:val="none"/>
          <w:shd w:val="clear" w:color="auto" w:fill="ffffff"/>
        </w:rPr>
        <w:t xml:space="preserve">1、项目演示、样品、答辩等：</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无</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none"/>
          <w:shd w:val="clear" w:color="auto" w:fill="ffffff"/>
          <w:lang w:val="en-US" w:eastAsia="zh-CN"/>
        </w:rPr>
        <w:t xml:space="preserve">。</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电子投标文件一份(通过系统提交)；纸质投标文件正本一份，副本四份（评审结束后由中标候选人邮寄至采购人，未中标单位不需要提供）。</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sectPr>
          <w:footerReference w:type="default" r:id="rId11"/>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sz w:val="24"/>
          <w:szCs w:val="24"/>
          <w:highlight w:val="none"/>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任何问题，应在工作日上午9：00-11：30下午13：30-17：30期间致电技术支持热线咨询，联系电话：0519-86722805、0519-86617173。</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、有关本次招标的事项若存在变动或修改，敬请及时关注采购人在“中国政府采购网”“江苏政府采购网”、“盐城市政府采购网”发布的更正公告。</w:t>
      </w:r>
      <w:r/>
    </w:p>
    <w:p>
      <w:pPr>
        <w:ind w:firstLine="480"/>
        <w:jc w:val="left"/>
        <w:keepLines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、本项目不收取投标保证金，不收取质量保证金。</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七、对本次招标提出询问，请按以下方式联系。</w:t>
      </w:r>
      <w:bookmarkEnd w:id="30"/>
      <w:r/>
      <w:r/>
    </w:p>
    <w:p>
      <w:pPr>
        <w:ind w:firstLine="480"/>
        <w:jc w:val="left"/>
        <w:pageBreakBefore w:val="0"/>
        <w:spacing w:line="348" w:lineRule="auto"/>
        <w:widowControl/>
        <w:rPr>
          <w:rFonts w:hint="eastAsia" w:ascii="宋体" w:hAnsi="宋体" w:eastAsia="宋体" w:cs="宋体"/>
          <w:color w:val="auto"/>
          <w:sz w:val="24"/>
          <w:highlight w:val="none"/>
        </w:rPr>
      </w:pPr>
      <w:r/>
      <w:bookmarkStart w:id="31" w:name="_Toc28359009"/>
      <w:r>
        <w:rPr>
          <w:rFonts w:hint="eastAsia" w:ascii="宋体" w:hAnsi="宋体" w:eastAsia="宋体" w:cs="宋体"/>
          <w:color w:val="auto"/>
          <w:sz w:val="24"/>
          <w:highlight w:val="none"/>
        </w:rPr>
        <w:t xml:space="preserve">1.采购人信息</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称：盐城市大丰区教育局  </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址：盐城市大丰区金丰南路1号</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唐先生</w:t>
      </w:r>
      <w:r>
        <w:rPr>
          <w:rFonts w:hint="eastAsia" w:ascii="宋体" w:hAnsi="宋体" w:eastAsia="宋体" w:cs="宋体"/>
          <w:color w:val="auto"/>
          <w:sz w:val="24"/>
          <w:highlight w:val="none"/>
        </w:rPr>
        <w:t xml:space="preserve">              </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13851316200</w:t>
      </w:r>
      <w:r>
        <w:rPr>
          <w:rFonts w:hint="eastAsia" w:ascii="宋体" w:hAnsi="宋体" w:eastAsia="宋体" w:cs="宋体"/>
          <w:color w:val="auto"/>
          <w:sz w:val="24"/>
          <w:highlight w:val="none"/>
        </w:rPr>
        <w:t xml:space="preserve">            </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pageBreakBefore w:val="0"/>
        <w:spacing w:line="348" w:lineRule="auto"/>
        <w:widowControl/>
        <w:rPr>
          <w:rFonts w:hint="default" w:ascii="宋体" w:hAnsi="宋体" w:eastAsia="宋体" w:cs="宋体"/>
          <w:color w:val="auto"/>
          <w:sz w:val="24"/>
          <w:highlight w:val="none"/>
          <w:lang w:val="en-US" w:eastAsia="zh-CN"/>
        </w:rPr>
      </w:pPr>
      <w:r/>
      <w:bookmarkStart w:id="32" w:name="_Toc28359010"/>
      <w:r/>
      <w:bookmarkStart w:id="33" w:name="_Toc28359087"/>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val="en-US" w:eastAsia="zh-CN"/>
        </w:rPr>
        <w:t xml:space="preserve">盐城市泰辰工程造价有限公司</w:t>
      </w:r>
      <w:r/>
    </w:p>
    <w:p>
      <w:pPr>
        <w:ind w:firstLine="480"/>
        <w:jc w:val="left"/>
        <w:pageBreakBefore w:val="0"/>
        <w:spacing w:line="348"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址：盐城市大丰区</w:t>
      </w:r>
      <w:r>
        <w:rPr>
          <w:rFonts w:hint="eastAsia" w:ascii="宋体" w:hAnsi="宋体" w:eastAsia="宋体" w:cs="宋体"/>
          <w:color w:val="auto"/>
          <w:sz w:val="24"/>
          <w:highlight w:val="none"/>
          <w:lang w:val="en-US" w:eastAsia="zh-CN"/>
        </w:rPr>
        <w:t xml:space="preserve">南翔东路89号1幢1F</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eastAsia="宋体" w:cs="宋体"/>
          <w:color w:val="auto"/>
          <w:sz w:val="24"/>
          <w:highlight w:val="none"/>
          <w:lang w:val="en-US" w:eastAsia="zh-CN"/>
        </w:rPr>
        <w:t xml:space="preserve">宗美娟</w:t>
      </w:r>
      <w:r>
        <w:rPr>
          <w:rFonts w:hint="eastAsia" w:ascii="宋体" w:hAnsi="宋体" w:eastAsia="宋体" w:cs="宋体"/>
          <w:color w:val="auto"/>
          <w:sz w:val="24"/>
          <w:highlight w:val="none"/>
        </w:rPr>
        <w:t xml:space="preserve">                     </w:t>
      </w:r>
      <w:r/>
    </w:p>
    <w:p>
      <w:pPr>
        <w:ind w:firstLine="480"/>
        <w:jc w:val="left"/>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13961957881</w:t>
      </w:r>
      <w:r>
        <w:rPr>
          <w:rFonts w:hint="eastAsia" w:ascii="宋体" w:hAnsi="宋体" w:eastAsia="宋体" w:cs="宋体"/>
          <w:color w:val="auto"/>
          <w:sz w:val="24"/>
          <w:highlight w:val="none"/>
        </w:rPr>
        <w:t xml:space="preserve">       </w:t>
      </w:r>
      <w:bookmarkEnd w:id="32"/>
      <w:r/>
      <w:bookmarkEnd w:id="33"/>
      <w:r>
        <w:rPr>
          <w:rFonts w:hint="eastAsia" w:ascii="宋体" w:hAnsi="宋体" w:eastAsia="宋体" w:cs="宋体"/>
          <w:color w:val="auto"/>
          <w:sz w:val="24"/>
          <w:highlight w:val="none"/>
        </w:rPr>
        <w:t xml:space="preserve">            </w:t>
      </w:r>
      <w:r/>
    </w:p>
    <w:p>
      <w:pPr>
        <w:ind w:firstLine="480"/>
        <w:jc w:val="left"/>
        <w:pageBreakBefore w:val="0"/>
        <w:spacing w:line="348" w:lineRule="auto"/>
        <w:widowControl/>
        <w:rPr>
          <w:rFonts w:hint="eastAsia" w:ascii="宋体" w:hAnsi="宋体" w:eastAsia="宋体" w:cs="宋体"/>
          <w:color w:val="auto"/>
          <w:sz w:val="24"/>
          <w:highlight w:val="none"/>
        </w:rPr>
      </w:pPr>
      <w:r/>
      <w:bookmarkStart w:id="34" w:name="_Toc28359021"/>
      <w:r>
        <w:rPr>
          <w:rFonts w:hint="eastAsia" w:ascii="宋体" w:hAnsi="宋体" w:eastAsia="宋体" w:cs="宋体"/>
          <w:color w:val="auto"/>
          <w:sz w:val="24"/>
          <w:highlight w:val="none"/>
        </w:rPr>
        <w:t xml:space="preserve">3.</w:t>
      </w:r>
      <w:bookmarkEnd w:id="34"/>
      <w:r>
        <w:rPr>
          <w:rFonts w:hint="eastAsia" w:ascii="宋体" w:hAnsi="宋体" w:eastAsia="宋体" w:cs="宋体"/>
          <w:color w:val="auto"/>
          <w:sz w:val="24"/>
          <w:highlight w:val="none"/>
        </w:rPr>
        <w:t xml:space="preserve">项目联系方式</w:t>
      </w:r>
      <w:r/>
    </w:p>
    <w:p>
      <w:pPr>
        <w:ind w:firstLine="480"/>
        <w:jc w:val="left"/>
        <w:pageBreakBefore w:val="0"/>
        <w:spacing w:line="348"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宗美娟</w:t>
      </w:r>
      <w:r/>
    </w:p>
    <w:p>
      <w:pPr>
        <w:ind w:firstLine="480"/>
        <w:jc w:val="left"/>
        <w:pageBreakBefore w:val="0"/>
        <w:spacing w:line="348"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val="en-US" w:eastAsia="zh-CN"/>
        </w:rPr>
        <w:t xml:space="preserve">13961957881</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shd w:val="clear" w:color="auto" w:fill="ffffff"/>
        </w:rPr>
        <w:t xml:space="preserve">　　　　　　　　</w:t>
      </w:r>
      <w:r/>
    </w:p>
    <w:p>
      <w:pPr>
        <w:pageBreakBefore w:val="0"/>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66"/>
        <w:ind w:right="840"/>
        <w:jc w:val="center"/>
        <w:spacing w:beforeAutospacing="0" w:afterAutospacing="0" w:line="360" w:lineRule="auto"/>
        <w:rPr>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bookmarkStart w:id="35" w:name="_Toc120614211"/>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120614213"/>
      <w:r/>
      <w:bookmarkStart w:id="38" w:name="_Toc16938518"/>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66"/>
        <w:ind w:firstLine="498"/>
        <w:jc w:val="both"/>
        <w:keepLines/>
        <w:keepNext/>
        <w:spacing w:before="145" w:beforeAutospacing="0" w:after="145" w:afterAutospacing="0" w:line="360" w:lineRule="auto"/>
        <w:rPr>
          <w:rFonts w:hint="eastAsia" w:ascii="宋体" w:hAnsi="宋体" w:eastAsia="宋体" w:cs="宋体"/>
          <w:color w:val="auto"/>
          <w:highlight w:val="none"/>
        </w:rPr>
      </w:pPr>
      <w:r/>
      <w:bookmarkStart w:id="40" w:name="_Toc513029203"/>
      <w:r/>
      <w:bookmarkStart w:id="41" w:name="_Toc20823275"/>
      <w:r/>
      <w:bookmarkStart w:id="42" w:name="_Toc16938519"/>
      <w:r/>
      <w:bookmarkStart w:id="43" w:name="_Toc120614214"/>
      <w:r>
        <w:rPr>
          <w:rFonts w:hint="eastAsia" w:ascii="宋体" w:hAnsi="宋体" w:eastAsia="宋体" w:cs="宋体"/>
          <w:b/>
          <w:color w:val="auto"/>
          <w:highlight w:val="none"/>
        </w:rPr>
        <w:t xml:space="preserve">一、总则</w:t>
      </w:r>
      <w:bookmarkEnd w:id="40"/>
      <w:r/>
      <w:bookmarkEnd w:id="41"/>
      <w:r/>
      <w:bookmarkEnd w:id="42"/>
      <w:r/>
      <w:bookmarkEnd w:id="43"/>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auto"/>
          <w:highlight w:val="none"/>
        </w:rPr>
        <w:t xml:space="preserve">1</w:t>
      </w:r>
      <w:bookmarkEnd w:id="44"/>
      <w:r>
        <w:rPr>
          <w:rFonts w:hint="eastAsia" w:ascii="宋体" w:hAnsi="宋体" w:eastAsia="宋体" w:cs="宋体"/>
          <w:color w:val="auto"/>
          <w:highlight w:val="none"/>
        </w:rPr>
        <w:t xml:space="preserve">、招标方式</w:t>
      </w:r>
      <w:bookmarkEnd w:id="45"/>
      <w:r/>
      <w:bookmarkEnd w:id="46"/>
      <w:r/>
      <w:bookmarkEnd w:id="47"/>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49" w:name="_Toc16938521"/>
      <w:r/>
      <w:bookmarkStart w:id="50" w:name="_Toc513029205"/>
      <w:r/>
      <w:bookmarkStart w:id="51" w:name="_Toc20823277"/>
      <w:r>
        <w:rPr>
          <w:rFonts w:hint="eastAsia" w:ascii="宋体" w:hAnsi="宋体" w:eastAsia="宋体" w:cs="宋体"/>
          <w:color w:val="auto"/>
          <w:highlight w:val="none"/>
        </w:rPr>
        <w:t xml:space="preserve">2、合格的投标人</w:t>
      </w:r>
      <w:bookmarkEnd w:id="49"/>
      <w:r/>
      <w:bookmarkEnd w:id="50"/>
      <w:r/>
      <w:bookmarkEnd w:id="51"/>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52" w:name="_Toc16938522"/>
      <w:r/>
      <w:bookmarkStart w:id="53" w:name="_Toc20823278"/>
      <w:r/>
      <w:bookmarkStart w:id="54" w:name="_Toc513029206"/>
      <w:r>
        <w:rPr>
          <w:rFonts w:hint="eastAsia" w:ascii="宋体" w:hAnsi="宋体" w:eastAsia="宋体" w:cs="宋体"/>
          <w:color w:val="auto"/>
          <w:highlight w:val="none"/>
        </w:rPr>
        <w:t xml:space="preserve">3、适用法律</w:t>
      </w:r>
      <w:bookmarkEnd w:id="52"/>
      <w:r/>
      <w:bookmarkEnd w:id="53"/>
      <w:r/>
      <w:bookmarkEnd w:id="54"/>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55" w:name="_Toc16938523"/>
      <w:r/>
      <w:bookmarkStart w:id="56" w:name="_Toc513029207"/>
      <w:r/>
      <w:bookmarkStart w:id="57" w:name="_Toc20823279"/>
      <w:r/>
      <w:bookmarkStart w:id="58" w:name="_Toc462564067"/>
      <w:r>
        <w:rPr>
          <w:rFonts w:hint="eastAsia" w:ascii="宋体" w:hAnsi="宋体" w:eastAsia="宋体" w:cs="宋体"/>
          <w:color w:val="auto"/>
          <w:highlight w:val="none"/>
        </w:rPr>
        <w:t xml:space="preserve">4、投标费用</w:t>
      </w:r>
      <w:bookmarkEnd w:id="55"/>
      <w:r/>
      <w:bookmarkEnd w:id="56"/>
      <w:r/>
      <w:bookmarkEnd w:id="57"/>
      <w:r/>
      <w:bookmarkEnd w:id="58"/>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4.1投标人应自行承担所有与参加投标有关的费用，无论投标过程中的做法和结果如何，采购人和采购代理机构在任何情况下均无义务和责任承担这些费用。</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4.2本次招标采购人不收取标书工本费。</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966"/>
        <w:ind w:firstLine="321"/>
        <w:jc w:val="both"/>
        <w:keepLines/>
        <w:keepNext/>
        <w:spacing w:before="145" w:beforeAutospacing="0" w:after="145" w:afterAutospacing="0" w:line="360" w:lineRule="auto"/>
        <w:rPr>
          <w:rFonts w:hint="eastAsia" w:ascii="宋体" w:hAnsi="宋体" w:eastAsia="宋体" w:cs="宋体"/>
          <w:color w:val="auto"/>
          <w:highlight w:val="none"/>
        </w:rPr>
      </w:pPr>
      <w:r/>
      <w:bookmarkStart w:id="59" w:name="_Toc513029209"/>
      <w:r/>
      <w:bookmarkStart w:id="60" w:name="_Toc120614215"/>
      <w:r/>
      <w:bookmarkStart w:id="61" w:name="_Toc20823281"/>
      <w:r/>
      <w:bookmarkStart w:id="62" w:name="_Toc16938525"/>
      <w:r>
        <w:rPr>
          <w:rFonts w:hint="eastAsia" w:ascii="宋体" w:hAnsi="宋体" w:eastAsia="宋体" w:cs="宋体"/>
          <w:b/>
          <w:color w:val="auto"/>
          <w:highlight w:val="none"/>
        </w:rPr>
        <w:t xml:space="preserve">二、招标文件</w:t>
      </w:r>
      <w:bookmarkEnd w:id="59"/>
      <w:r/>
      <w:bookmarkEnd w:id="60"/>
      <w:r/>
      <w:bookmarkEnd w:id="61"/>
      <w:r/>
      <w:bookmarkEnd w:id="62"/>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63" w:name="_Toc16938526"/>
      <w:r/>
      <w:bookmarkStart w:id="64" w:name="_Toc513029210"/>
      <w:r/>
      <w:bookmarkStart w:id="65" w:name="_Toc20823282"/>
      <w:r>
        <w:rPr>
          <w:rFonts w:hint="eastAsia" w:ascii="宋体" w:hAnsi="宋体" w:eastAsia="宋体" w:cs="宋体"/>
          <w:color w:val="auto"/>
          <w:highlight w:val="none"/>
        </w:rPr>
        <w:t xml:space="preserve">6、招标文件构成</w:t>
      </w:r>
      <w:bookmarkEnd w:id="63"/>
      <w:r/>
      <w:bookmarkEnd w:id="64"/>
      <w:r/>
      <w:bookmarkEnd w:id="65"/>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请仔细检查招标文件是否齐全，如有缺漏请立即与采购代理机构联系解决。</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6"/>
        <w:ind w:firstLine="480"/>
        <w:jc w:val="both"/>
        <w:keepLines/>
        <w:keepNext/>
        <w:spacing w:beforeAutospacing="0" w:afterAutospacing="0" w:line="360" w:lineRule="auto"/>
        <w:rPr>
          <w:rFonts w:hint="eastAsia" w:ascii="宋体" w:hAnsi="宋体" w:eastAsia="宋体" w:cs="宋体"/>
          <w:color w:val="auto"/>
          <w:highlight w:val="none"/>
        </w:rPr>
      </w:pPr>
      <w:r/>
      <w:bookmarkStart w:id="66" w:name="_Toc462564070"/>
      <w:r/>
      <w:bookmarkStart w:id="67" w:name="_Toc20823283"/>
      <w:r/>
      <w:bookmarkStart w:id="68" w:name="_Toc16938527"/>
      <w:r/>
      <w:bookmarkStart w:id="69" w:name="_Toc513029211"/>
      <w:r>
        <w:rPr>
          <w:rFonts w:hint="eastAsia" w:ascii="宋体" w:hAnsi="宋体" w:eastAsia="宋体" w:cs="宋体"/>
          <w:color w:val="auto"/>
          <w:highlight w:val="none"/>
        </w:rPr>
        <w:t xml:space="preserve">7、招标文件的澄清</w:t>
      </w:r>
      <w:bookmarkEnd w:id="66"/>
      <w:r/>
      <w:bookmarkEnd w:id="67"/>
      <w:r/>
      <w:bookmarkEnd w:id="68"/>
      <w:r/>
      <w:bookmarkEnd w:id="69"/>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前按招标公告中的通讯地址，以书面形式通知采购代理机构。</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70" w:name="_Toc16938528"/>
      <w:r/>
      <w:bookmarkStart w:id="71" w:name="_Toc462564071"/>
      <w:r/>
      <w:bookmarkStart w:id="72" w:name="_Toc513029212"/>
      <w:r/>
      <w:bookmarkStart w:id="73" w:name="_Toc20823284"/>
      <w:r>
        <w:rPr>
          <w:rFonts w:hint="eastAsia" w:ascii="宋体" w:hAnsi="宋体" w:eastAsia="宋体" w:cs="宋体"/>
          <w:color w:val="auto"/>
          <w:highlight w:val="none"/>
        </w:rPr>
        <w:t xml:space="preserve">8、招标文件的修改</w:t>
      </w:r>
      <w:bookmarkEnd w:id="70"/>
      <w:r/>
      <w:bookmarkEnd w:id="71"/>
      <w:r/>
      <w:bookmarkEnd w:id="72"/>
      <w:r/>
      <w:bookmarkEnd w:id="73"/>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8.3招标文件的修改将在中国政府采购网、江苏政府采购网、盐城市政府采购网公布，补充文件将作为招标文件的组成部分，并对投标人具有约束力。</w:t>
      </w:r>
      <w:r/>
    </w:p>
    <w:p>
      <w:pPr>
        <w:pStyle w:val="966"/>
        <w:ind w:firstLine="482"/>
        <w:jc w:val="both"/>
        <w:keepLines/>
        <w:keepNext/>
        <w:spacing w:before="145" w:beforeAutospacing="0" w:after="145" w:afterAutospacing="0" w:line="360" w:lineRule="auto"/>
        <w:rPr>
          <w:rFonts w:hint="eastAsia" w:ascii="宋体" w:hAnsi="宋体" w:eastAsia="宋体" w:cs="宋体"/>
          <w:color w:val="auto"/>
          <w:highlight w:val="none"/>
        </w:rPr>
      </w:pPr>
      <w:r/>
      <w:bookmarkStart w:id="74" w:name="_Toc16938529"/>
      <w:r/>
      <w:bookmarkStart w:id="75" w:name="_Toc120614216"/>
      <w:r/>
      <w:bookmarkStart w:id="76" w:name="_Toc462564072"/>
      <w:r/>
      <w:bookmarkStart w:id="77" w:name="_Toc513029213"/>
      <w:r/>
      <w:bookmarkStart w:id="78" w:name="_Toc20823285"/>
      <w:r>
        <w:rPr>
          <w:rFonts w:hint="eastAsia" w:ascii="宋体" w:hAnsi="宋体" w:eastAsia="宋体" w:cs="宋体"/>
          <w:b/>
          <w:color w:val="auto"/>
          <w:highlight w:val="none"/>
        </w:rPr>
        <w:t xml:space="preserve">三、投标文件的编制</w:t>
      </w:r>
      <w:bookmarkEnd w:id="74"/>
      <w:r/>
      <w:bookmarkEnd w:id="75"/>
      <w:r/>
      <w:bookmarkEnd w:id="76"/>
      <w:r/>
      <w:bookmarkEnd w:id="77"/>
      <w:r/>
      <w:bookmarkEnd w:id="78"/>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79" w:name="_Toc513029214"/>
      <w:r/>
      <w:bookmarkStart w:id="80" w:name="_Toc20823286"/>
      <w:r/>
      <w:bookmarkStart w:id="81" w:name="_Toc16938530"/>
      <w:r/>
      <w:bookmarkStart w:id="82" w:name="_Toc462564073"/>
      <w:r>
        <w:rPr>
          <w:rFonts w:hint="eastAsia" w:ascii="宋体" w:hAnsi="宋体" w:eastAsia="宋体" w:cs="宋体"/>
          <w:color w:val="auto"/>
          <w:highlight w:val="none"/>
        </w:rPr>
        <w:t xml:space="preserve">9、投标文件的语言及度量衡单位</w:t>
      </w:r>
      <w:bookmarkEnd w:id="79"/>
      <w:r/>
      <w:bookmarkEnd w:id="80"/>
      <w:r/>
      <w:bookmarkEnd w:id="81"/>
      <w:r/>
      <w:bookmarkEnd w:id="82"/>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9.1投标人提交的投标文件以及投标人与采购人就有关投标的所有来往通知、函件和文件均应使用简体中文。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83" w:name="_Toc16938531"/>
      <w:r/>
      <w:bookmarkStart w:id="84" w:name="_Toc20823287"/>
      <w:r/>
      <w:bookmarkStart w:id="85" w:name="_Toc513029215"/>
      <w:r/>
      <w:bookmarkStart w:id="86" w:name="_Toc462564074"/>
      <w:r>
        <w:rPr>
          <w:rFonts w:hint="eastAsia" w:ascii="宋体" w:hAnsi="宋体" w:eastAsia="宋体" w:cs="宋体"/>
          <w:color w:val="auto"/>
          <w:highlight w:val="none"/>
        </w:rPr>
        <w:t xml:space="preserve">10、投标文件构成</w:t>
      </w:r>
      <w:bookmarkEnd w:id="83"/>
      <w:r/>
      <w:bookmarkEnd w:id="84"/>
      <w:r/>
      <w:bookmarkEnd w:id="85"/>
      <w:r/>
      <w:bookmarkEnd w:id="86"/>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87" w:name="_Toc513029216"/>
      <w:r/>
      <w:bookmarkStart w:id="88" w:name="_Toc14577357"/>
      <w:r/>
      <w:bookmarkStart w:id="89" w:name="_Toc513029219"/>
      <w:r/>
      <w:bookmarkStart w:id="90" w:name="_Toc14577354"/>
      <w:r/>
      <w:bookmarkStart w:id="91" w:name="_Toc49090509"/>
      <w:r/>
      <w:bookmarkStart w:id="92" w:name="_Toc49090507"/>
      <w:r/>
      <w:bookmarkStart w:id="93" w:name="_Hlt26670360"/>
      <w:r/>
      <w:bookmarkStart w:id="94" w:name="_Hlt26668975"/>
      <w:r/>
      <w:bookmarkStart w:id="95" w:name="_Hlt26954838"/>
      <w:r>
        <w:rPr>
          <w:rFonts w:hint="eastAsia" w:ascii="宋体" w:hAnsi="宋体" w:eastAsia="宋体" w:cs="宋体"/>
          <w:color w:val="auto"/>
          <w:highlight w:val="none"/>
        </w:rPr>
        <w:t xml:space="preserve">11、证明投标人及投标标的符合招标文件规定的文件</w:t>
      </w:r>
      <w:bookmarkEnd w:id="87"/>
      <w:r/>
      <w:bookmarkEnd w:id="88"/>
      <w:r/>
      <w:bookmarkEnd w:id="89"/>
      <w:r/>
      <w:bookmarkEnd w:id="90"/>
      <w:r/>
      <w:bookmarkEnd w:id="91"/>
      <w:r/>
      <w:bookmarkEnd w:id="92"/>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96" w:name="_Toc14577355"/>
      <w:r/>
      <w:bookmarkStart w:id="97" w:name="_Toc49090508"/>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6"/>
      <w:r/>
      <w:bookmarkEnd w:id="97"/>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w:t>
      </w:r>
      <w:bookmarkStart w:id="98" w:name="_Hlt26670373"/>
      <w:r>
        <w:rPr>
          <w:rFonts w:hint="eastAsia" w:ascii="宋体" w:hAnsi="宋体" w:eastAsia="宋体" w:cs="宋体"/>
          <w:color w:val="auto"/>
          <w:highlight w:val="none"/>
        </w:rPr>
        <w:t xml:space="preserve">表</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12.1投</w:t>
      </w:r>
      <w:bookmarkStart w:id="99" w:name="_Hlt26954840"/>
      <w:r>
        <w:rPr>
          <w:rFonts w:hint="eastAsia" w:ascii="宋体" w:hAnsi="宋体" w:eastAsia="宋体" w:cs="宋体"/>
          <w:color w:val="auto"/>
          <w:highlight w:val="none"/>
        </w:rPr>
        <w:t xml:space="preserve">标人应按照招标文件规定格式填报投标分项报价表</w:t>
      </w:r>
      <w:bookmarkStart w:id="100" w:name="_Hlt26670399"/>
      <w:r>
        <w:rPr>
          <w:rFonts w:hint="eastAsia" w:ascii="宋体" w:hAnsi="宋体" w:eastAsia="宋体" w:cs="宋体"/>
          <w:color w:val="auto"/>
          <w:highlight w:val="none"/>
        </w:rPr>
        <w:t xml:space="preserve">。</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01" w:name="_Hlt26954842"/>
      <w:r/>
      <w:bookmarkStart w:id="102" w:name="_Hlt26670486"/>
      <w:r/>
      <w:bookmarkStart w:id="103" w:name="_Hlt26670482"/>
      <w:r/>
      <w:bookmarkStart w:id="104" w:name="_Hlt26954846"/>
      <w:r/>
      <w:bookmarkStart w:id="105" w:name="_Hlt26670403"/>
      <w:r/>
      <w:bookmarkStart w:id="106" w:name="_Hlt26954848"/>
      <w:r/>
      <w:bookmarkStart w:id="107" w:name="_Hlt26668983"/>
      <w:r/>
      <w:bookmarkStart w:id="108" w:name="_Hlt26954844"/>
      <w:r/>
      <w:bookmarkStart w:id="109" w:name="_Hlt26670425"/>
      <w:r/>
      <w:bookmarkStart w:id="110" w:name="_Hlt26954731"/>
      <w:r>
        <w:rPr>
          <w:rFonts w:hint="eastAsia" w:ascii="宋体" w:hAnsi="宋体" w:eastAsia="宋体" w:cs="宋体"/>
          <w:color w:val="auto"/>
          <w:highlight w:val="none"/>
        </w:rPr>
        <w:t xml:space="preserve">13、技术要求响应及偏离表、商务要求响应及偏离表</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11" w:name="_Toc14577359"/>
      <w:r/>
      <w:bookmarkStart w:id="112" w:name="_Toc49090510"/>
      <w:r>
        <w:rPr>
          <w:rFonts w:hint="eastAsia" w:ascii="宋体" w:hAnsi="宋体" w:eastAsia="宋体" w:cs="宋体"/>
          <w:color w:val="auto"/>
          <w:highlight w:val="none"/>
        </w:rPr>
        <w:t xml:space="preserve">14、投标函和开标一览表</w:t>
      </w:r>
      <w:bookmarkEnd w:id="111"/>
      <w:r/>
      <w:bookmarkEnd w:id="112"/>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13" w:name="_Toc49090511"/>
      <w:r/>
      <w:bookmarkStart w:id="114" w:name="_Toc14577360"/>
      <w:r/>
      <w:bookmarkStart w:id="115" w:name="_Hlt26954734"/>
      <w:r/>
      <w:bookmarkStart w:id="116" w:name="_Hlt26954850"/>
      <w:r/>
      <w:bookmarkStart w:id="117" w:name="_Hlt26670489"/>
      <w:r>
        <w:rPr>
          <w:rFonts w:hint="eastAsia" w:ascii="宋体" w:hAnsi="宋体" w:eastAsia="宋体" w:cs="宋体"/>
          <w:color w:val="auto"/>
          <w:highlight w:val="none"/>
        </w:rPr>
        <w:t xml:space="preserve">15、投标有效期</w:t>
      </w:r>
      <w:bookmarkEnd w:id="113"/>
      <w:r/>
      <w:bookmarkEnd w:id="114"/>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15.1投标有效期为采购人规定的开标之日后九十（90）天。投标有效期比规定短的将被视为未实质性响应招标文件而予以拒绝。</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966"/>
        <w:ind w:firstLine="482"/>
        <w:jc w:val="both"/>
        <w:keepLines/>
        <w:keepNext/>
        <w:spacing w:before="145" w:beforeAutospacing="0" w:after="145" w:afterAutospacing="0" w:line="360" w:lineRule="auto"/>
        <w:rPr>
          <w:rFonts w:hint="eastAsia" w:ascii="宋体" w:hAnsi="宋体" w:eastAsia="宋体" w:cs="宋体"/>
          <w:color w:val="auto"/>
          <w:highlight w:val="none"/>
        </w:rPr>
      </w:pPr>
      <w:r/>
      <w:bookmarkStart w:id="118" w:name="_Toc513029224"/>
      <w:r/>
      <w:bookmarkStart w:id="119" w:name="_Toc120614217"/>
      <w:r/>
      <w:bookmarkStart w:id="120" w:name="_Toc16938540"/>
      <w:r/>
      <w:bookmarkStart w:id="121" w:name="_Toc20823296"/>
      <w:r/>
      <w:bookmarkStart w:id="122" w:name="_Hlt26954852"/>
      <w:r/>
      <w:bookmarkStart w:id="123" w:name="_Hlt26954739"/>
      <w:r>
        <w:rPr>
          <w:rFonts w:hint="eastAsia" w:ascii="宋体" w:hAnsi="宋体" w:eastAsia="宋体" w:cs="宋体"/>
          <w:b/>
          <w:color w:val="auto"/>
          <w:highlight w:val="none"/>
        </w:rPr>
        <w:t xml:space="preserve">四、投标文件的递交</w:t>
      </w:r>
      <w:bookmarkEnd w:id="118"/>
      <w:r/>
      <w:bookmarkEnd w:id="119"/>
      <w:r/>
      <w:bookmarkEnd w:id="120"/>
      <w:r/>
      <w:bookmarkEnd w:id="121"/>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24" w:name="_Toc16938541"/>
      <w:r/>
      <w:bookmarkStart w:id="125" w:name="_Toc20823297"/>
      <w:r/>
      <w:bookmarkStart w:id="126" w:name="_Toc462564084"/>
      <w:r/>
      <w:bookmarkStart w:id="127" w:name="_Toc513029225"/>
      <w:r>
        <w:rPr>
          <w:rFonts w:hint="eastAsia" w:ascii="宋体" w:hAnsi="宋体" w:eastAsia="宋体" w:cs="宋体"/>
          <w:color w:val="auto"/>
          <w:highlight w:val="none"/>
        </w:rPr>
        <w:t xml:space="preserve">17、投标文件</w:t>
      </w:r>
      <w:bookmarkEnd w:id="124"/>
      <w:r/>
      <w:bookmarkEnd w:id="125"/>
      <w:r/>
      <w:bookmarkEnd w:id="126"/>
      <w:r/>
      <w:bookmarkEnd w:id="127"/>
      <w:r>
        <w:rPr>
          <w:rFonts w:hint="eastAsia" w:ascii="宋体" w:hAnsi="宋体" w:eastAsia="宋体" w:cs="宋体"/>
          <w:color w:val="auto"/>
          <w:highlight w:val="none"/>
        </w:rPr>
        <w:t xml:space="preserve">的递交</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31" w:name="_Toc16938543"/>
      <w:r/>
      <w:bookmarkStart w:id="132" w:name="_Toc513029227"/>
      <w:r/>
      <w:bookmarkStart w:id="133" w:name="_Toc20823299"/>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19.1采购人（采购代理机构）拒绝接收在其规定的投标截止时间后上传的任何投标文件。</w:t>
      </w:r>
      <w:r/>
    </w:p>
    <w:p>
      <w:pPr>
        <w:pStyle w:val="966"/>
        <w:ind w:firstLine="482"/>
        <w:jc w:val="both"/>
        <w:spacing w:beforeAutospacing="0" w:afterAutospacing="0" w:line="360" w:lineRule="auto"/>
        <w:rPr>
          <w:rFonts w:hint="eastAsia" w:ascii="宋体" w:hAnsi="宋体" w:eastAsia="宋体" w:cs="宋体"/>
          <w:color w:val="auto"/>
          <w:highlight w:val="none"/>
        </w:rPr>
      </w:pPr>
      <w:r/>
      <w:bookmarkStart w:id="134" w:name="_Toc513029228"/>
      <w:r/>
      <w:bookmarkStart w:id="135" w:name="_Toc16938544"/>
      <w:r/>
      <w:bookmarkStart w:id="136" w:name="_Toc20823300"/>
      <w:r>
        <w:rPr>
          <w:rFonts w:hint="eastAsia" w:ascii="宋体" w:hAnsi="宋体" w:eastAsia="宋体" w:cs="宋体"/>
          <w:b/>
          <w:bCs/>
          <w:color w:val="auto"/>
          <w:highlight w:val="none"/>
        </w:rPr>
        <w:t xml:space="preserve">20、投标文件的撤回和修改</w:t>
      </w:r>
      <w:bookmarkEnd w:id="134"/>
      <w:r/>
      <w:bookmarkEnd w:id="135"/>
      <w:r/>
      <w:bookmarkEnd w:id="136"/>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966"/>
        <w:ind w:firstLine="482"/>
        <w:jc w:val="both"/>
        <w:keepLines/>
        <w:keepNext/>
        <w:spacing w:before="145" w:beforeAutospacing="0" w:after="145" w:afterAutospacing="0" w:line="360" w:lineRule="auto"/>
        <w:rPr>
          <w:rFonts w:hint="eastAsia" w:ascii="宋体" w:hAnsi="宋体" w:eastAsia="宋体" w:cs="宋体"/>
          <w:color w:val="auto"/>
          <w:highlight w:val="none"/>
        </w:rPr>
      </w:pPr>
      <w:r/>
      <w:bookmarkStart w:id="137" w:name="_Toc120614218"/>
      <w:r/>
      <w:bookmarkStart w:id="138" w:name="_Toc513029229"/>
      <w:r/>
      <w:bookmarkStart w:id="139" w:name="_Toc20823301"/>
      <w:r/>
      <w:bookmarkStart w:id="140" w:name="_Toc16938545"/>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41" w:name="_Toc16938546"/>
      <w:r/>
      <w:bookmarkStart w:id="142" w:name="_Toc513029230"/>
      <w:r/>
      <w:bookmarkStart w:id="143" w:name="_Toc20823302"/>
      <w:r>
        <w:rPr>
          <w:rFonts w:hint="eastAsia" w:ascii="宋体" w:hAnsi="宋体" w:eastAsia="宋体" w:cs="宋体"/>
          <w:color w:val="auto"/>
          <w:highlight w:val="none"/>
        </w:rPr>
        <w:t xml:space="preserve">21、开标</w:t>
      </w:r>
      <w:bookmarkEnd w:id="141"/>
      <w:r/>
      <w:bookmarkEnd w:id="142"/>
      <w:r/>
      <w:bookmarkEnd w:id="143"/>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21.2开标仪式由采购代理机构组织。苏采云系统将自动对项目进行开标，并宣布各投标人名称和投标价格。</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44" w:name="_Toc16938547"/>
      <w:r/>
      <w:bookmarkStart w:id="145" w:name="_Toc513029231"/>
      <w:r/>
      <w:bookmarkStart w:id="146" w:name="_Toc20823303"/>
      <w:r>
        <w:rPr>
          <w:rFonts w:hint="eastAsia" w:ascii="宋体" w:hAnsi="宋体" w:eastAsia="宋体" w:cs="宋体"/>
          <w:color w:val="auto"/>
          <w:highlight w:val="none"/>
        </w:rPr>
        <w:t xml:space="preserve">22、评标委员会</w:t>
      </w:r>
      <w:bookmarkEnd w:id="144"/>
      <w:r/>
      <w:bookmarkEnd w:id="145"/>
      <w:r/>
      <w:bookmarkEnd w:id="146"/>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22.1开标后，采购人将立即组织评标委员会（以下简称评委会）进行评标。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23.1凡是与审查、澄清、评价和比较投标的有关资料以及授标建议等，采购人、评委、采购代理机构均不得向投标人或与评标无关的其他人员透露。</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23.3采购人和评标委员会不向未中标的投标人解释未中标原因，也不公布评标过程中的相关细节。</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bookmarkStart w:id="147" w:name="_Toc20823304"/>
      <w:r/>
      <w:bookmarkStart w:id="148" w:name="_Toc513029232"/>
      <w:r/>
      <w:bookmarkStart w:id="149" w:name="_Toc16938548"/>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24、投标文件的澄清</w:t>
      </w:r>
      <w:bookmarkEnd w:id="147"/>
      <w:r/>
      <w:bookmarkEnd w:id="148"/>
      <w:r/>
      <w:bookmarkEnd w:id="149"/>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24.3接到评委会澄清、说明和补正要求的投标人如未按规定作出澄清、说明和补正，其风险由投标人自行承担。</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50" w:name="_Toc20823305"/>
      <w:r/>
      <w:bookmarkStart w:id="151" w:name="_Toc16938549"/>
      <w:r/>
      <w:bookmarkStart w:id="152" w:name="_Toc513029233"/>
      <w:r>
        <w:rPr>
          <w:rFonts w:hint="eastAsia" w:ascii="宋体" w:hAnsi="宋体" w:eastAsia="宋体" w:cs="宋体"/>
          <w:color w:val="auto"/>
          <w:highlight w:val="none"/>
        </w:rPr>
        <w:t xml:space="preserve">25、对投标文件的初审</w:t>
      </w:r>
      <w:bookmarkEnd w:id="150"/>
      <w:r/>
      <w:bookmarkEnd w:id="151"/>
      <w:r/>
      <w:bookmarkEnd w:id="152"/>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53" w:name="_Toc20823306"/>
      <w:r/>
      <w:bookmarkStart w:id="154" w:name="_Toc513029234"/>
      <w:r/>
      <w:bookmarkStart w:id="155" w:name="_Toc16938550"/>
      <w:r>
        <w:rPr>
          <w:rFonts w:hint="eastAsia" w:ascii="宋体" w:hAnsi="宋体" w:eastAsia="宋体" w:cs="宋体"/>
          <w:color w:val="auto"/>
          <w:highlight w:val="none"/>
        </w:rPr>
        <w:t xml:space="preserve">25.6投标人在开、评标全过程中应保持通信畅通，及时登录苏采云系统查阅、答复相关信息，并安排专人与采购人及评标委员会联系。</w:t>
      </w:r>
      <w:bookmarkEnd w:id="153"/>
      <w:r/>
      <w:bookmarkEnd w:id="154"/>
      <w:r/>
      <w:bookmarkEnd w:id="155"/>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25.7政府采购异常低价审查</w:t>
      </w:r>
      <w:r/>
    </w:p>
    <w:p>
      <w:pPr>
        <w:ind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25.7.1评审过程中出现下列情形之一的，评审委员会应当启动异常低价投标（响应）审查程序：</w:t>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w:t>
      </w:r>
      <w:r>
        <w:rPr>
          <w:rFonts w:ascii="SimSun" w:hAnsi="SimSun" w:eastAsia="SimSun" w:cs="SimSun"/>
          <w:b w:val="0"/>
          <w:bCs w:val="0"/>
          <w:color w:val="000000"/>
          <w:sz w:val="24"/>
        </w:rPr>
        <w:t xml:space="preserve">投标（响应）报价低于全部通过符合性审查供应商投标（响应） 报价平均值50%的，即投标（响应）报价&lt;全部通过符合性审查供应商投标（响应）报价平均值×50% ；</w:t>
      </w:r>
      <w:r>
        <w:rPr>
          <w:b w:val="0"/>
          <w:bCs w:val="0"/>
        </w:rPr>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Fonts w:ascii="SimSun" w:hAnsi="SimSun" w:eastAsia="SimSun" w:cs="SimSun"/>
          <w:b w:val="0"/>
          <w:bCs w:val="0"/>
          <w:color w:val="000000"/>
          <w:sz w:val="24"/>
        </w:rPr>
        <w:t xml:space="preserve">投标（响应）报价低于通过符合性审查的次低报价供应商投标（响应）报价 50%的，即投标（响应）报价&lt;通过符合性审查的次低报价供应商投标（响应）报价×50%；</w:t>
      </w:r>
      <w:r>
        <w:rPr>
          <w:b w:val="0"/>
          <w:bCs w:val="0"/>
        </w:rPr>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w:t>
      </w:r>
      <w:r>
        <w:rPr>
          <w:rFonts w:ascii="SimSun" w:hAnsi="SimSun" w:eastAsia="SimSun" w:cs="SimSun"/>
          <w:b w:val="0"/>
          <w:bCs w:val="0"/>
          <w:color w:val="000000"/>
          <w:sz w:val="24"/>
        </w:rPr>
        <w:t xml:space="preserve">投标（响应）报价低于采购项目最高限价 45% 的，即投 标（响应）报价&lt;采购项目最高限价×45% ；</w:t>
      </w:r>
      <w:r>
        <w:rPr>
          <w:rFonts w:hint="eastAsia" w:ascii="宋体" w:hAnsi="宋体" w:eastAsia="宋体" w:cs="宋体"/>
          <w:b w:val="0"/>
          <w:bCs w:val="0"/>
          <w:color w:val="auto"/>
          <w:sz w:val="24"/>
          <w:szCs w:val="24"/>
          <w:highlight w:val="none"/>
          <w:lang w:val="en-US" w:eastAsia="zh-CN" w:bidi="ar-SA"/>
        </w:rPr>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评审委员会认定的供应商报价过低、有可能影响产品质量或者不能诚信履约的其他情形。</w:t>
      </w:r>
      <w:r>
        <w:rPr>
          <w:b w:val="0"/>
          <w:bCs w:val="0"/>
        </w:rPr>
      </w:r>
      <w:r/>
    </w:p>
    <w:p>
      <w:pPr>
        <w:ind w:firstLine="480"/>
        <w:jc w:val="both"/>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rPr>
          <w:rFonts w:hint="eastAsia" w:ascii="宋体" w:hAnsi="宋体" w:eastAsia="宋体" w:cs="宋体"/>
          <w:color w:val="auto"/>
          <w:sz w:val="24"/>
          <w:szCs w:val="24"/>
          <w:highlight w:val="none"/>
          <w:lang w:val="en-US" w:eastAsia="zh-CN" w:bidi="ar-SA"/>
        </w:rPr>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56" w:name="_Toc16938551"/>
      <w:r/>
      <w:bookmarkStart w:id="157" w:name="_Toc513029235"/>
      <w:r/>
      <w:bookmarkStart w:id="158" w:name="_Toc20823307"/>
      <w:r>
        <w:rPr>
          <w:rFonts w:hint="eastAsia" w:ascii="宋体" w:hAnsi="宋体" w:eastAsia="宋体" w:cs="宋体"/>
          <w:color w:val="auto"/>
          <w:highlight w:val="none"/>
        </w:rPr>
        <w:t xml:space="preserve">26.1无效投标条款</w:t>
      </w:r>
      <w:bookmarkEnd w:id="156"/>
      <w:r/>
      <w:bookmarkEnd w:id="157"/>
      <w:r/>
      <w:bookmarkEnd w:id="158"/>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iCs/>
          <w:color w:val="auto"/>
          <w:highlight w:val="none"/>
          <w:u w:val="single"/>
        </w:rPr>
        <w:t xml:space="preserve">（本招标文件中斜体且有下划线部分为实质性要求和条件）。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59" w:name="_Toc120614219"/>
      <w:r>
        <w:rPr>
          <w:rFonts w:hint="eastAsia" w:ascii="宋体" w:hAnsi="宋体" w:eastAsia="宋体" w:cs="宋体"/>
          <w:color w:val="auto"/>
          <w:highlight w:val="none"/>
        </w:rPr>
        <w:t xml:space="preserve">六、定标</w:t>
      </w:r>
      <w:bookmarkEnd w:id="159"/>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60" w:name="_Toc20823310"/>
      <w:r/>
      <w:bookmarkStart w:id="161" w:name="_Toc513029238"/>
      <w:r/>
      <w:bookmarkStart w:id="162" w:name="_Toc16938554"/>
      <w:r>
        <w:rPr>
          <w:rFonts w:hint="eastAsia" w:ascii="宋体" w:hAnsi="宋体" w:eastAsia="宋体" w:cs="宋体"/>
          <w:color w:val="auto"/>
          <w:highlight w:val="none"/>
        </w:rPr>
        <w:t xml:space="preserve">27、</w:t>
      </w:r>
      <w:bookmarkEnd w:id="160"/>
      <w:r>
        <w:rPr>
          <w:rFonts w:hint="eastAsia" w:ascii="宋体" w:hAnsi="宋体" w:eastAsia="宋体" w:cs="宋体"/>
          <w:color w:val="auto"/>
          <w:highlight w:val="none"/>
        </w:rPr>
        <w:t xml:space="preserve">确定</w:t>
      </w:r>
      <w:bookmarkEnd w:id="161"/>
      <w:r/>
      <w:bookmarkEnd w:id="162"/>
      <w:r>
        <w:rPr>
          <w:rFonts w:hint="eastAsia" w:ascii="宋体" w:hAnsi="宋体" w:eastAsia="宋体" w:cs="宋体"/>
          <w:color w:val="auto"/>
          <w:highlight w:val="none"/>
        </w:rPr>
        <w:t xml:space="preserve">中标单位</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27.3采购人将在“中国政府采购网”“江苏政府采购网”“盐城市政府采购网”发布中标公告，公告期限为1个工作日。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27.4.2向采购人、采购代理机构行贿或者提供其他不正当利益的。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63" w:name="_Toc200451960"/>
      <w:r>
        <w:rPr>
          <w:rFonts w:hint="eastAsia" w:ascii="宋体" w:hAnsi="宋体" w:eastAsia="宋体" w:cs="宋体"/>
          <w:color w:val="auto"/>
          <w:highlight w:val="none"/>
        </w:rPr>
        <w:t xml:space="preserve">27.5 有下列情形之一的，视为投标人串通投标，投标无效：</w:t>
      </w:r>
      <w:bookmarkEnd w:id="163"/>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采购代理机构及采购人只接收以纸质原件形式送达的质疑,采购人和采购代理机构不接受未填写快递运单的快件。质疑接收部门为盐城市大丰区教育局，联系地址：大丰区金丰南路1号，联系电话</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u w:val="single"/>
          <w:lang w:val="en-US" w:eastAsia="zh-CN"/>
        </w:rPr>
        <w:t xml:space="preserve"> 13851316200 </w:t>
      </w:r>
      <w:r>
        <w:rPr>
          <w:rFonts w:hint="eastAsia" w:ascii="宋体" w:hAnsi="宋体" w:eastAsia="宋体" w:cs="宋体"/>
          <w:color w:val="auto"/>
          <w:highlight w:val="none"/>
          <w:u w:val="none"/>
        </w:rPr>
        <w:t xml:space="preserve">。</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66"/>
        <w:jc w:val="both"/>
        <w:keepLines/>
        <w:keepNext/>
        <w:spacing w:before="145" w:beforeAutospacing="0" w:after="145" w:afterAutospacing="0" w:line="360" w:lineRule="auto"/>
        <w:rPr>
          <w:rFonts w:hint="eastAsia" w:ascii="宋体" w:hAnsi="宋体" w:eastAsia="宋体" w:cs="宋体"/>
          <w:color w:val="auto"/>
          <w:highlight w:val="none"/>
        </w:rPr>
      </w:pPr>
      <w:r/>
      <w:bookmarkStart w:id="164" w:name="_Toc20823308"/>
      <w:r/>
      <w:bookmarkStart w:id="165" w:name="_Toc120614220"/>
      <w:r/>
      <w:bookmarkStart w:id="166" w:name="_Toc513029236"/>
      <w:r/>
      <w:bookmarkStart w:id="167" w:name="_Toc16938552"/>
      <w:r>
        <w:rPr>
          <w:rFonts w:hint="eastAsia" w:ascii="宋体" w:hAnsi="宋体" w:eastAsia="宋体" w:cs="宋体"/>
          <w:b/>
          <w:color w:val="auto"/>
          <w:highlight w:val="none"/>
        </w:rPr>
        <w:t xml:space="preserve">七、授予合同</w:t>
      </w:r>
      <w:bookmarkEnd w:id="164"/>
      <w:r/>
      <w:bookmarkEnd w:id="165"/>
      <w:r/>
      <w:bookmarkEnd w:id="166"/>
      <w:r/>
      <w:bookmarkEnd w:id="167"/>
      <w:r/>
      <w:r/>
    </w:p>
    <w:p>
      <w:pPr>
        <w:pStyle w:val="966"/>
        <w:ind w:firstLine="480"/>
        <w:jc w:val="both"/>
        <w:spacing w:beforeAutospacing="0" w:afterAutospacing="0" w:line="360" w:lineRule="auto"/>
        <w:rPr>
          <w:rFonts w:hint="eastAsia" w:ascii="宋体" w:hAnsi="宋体" w:eastAsia="宋体" w:cs="宋体"/>
          <w:color w:val="auto"/>
          <w:highlight w:val="none"/>
        </w:rPr>
      </w:pPr>
      <w:r/>
      <w:bookmarkStart w:id="168" w:name="_Toc513029237"/>
      <w:r/>
      <w:bookmarkStart w:id="169" w:name="_Toc20823309"/>
      <w:r/>
      <w:bookmarkStart w:id="170" w:name="_Toc16938553"/>
      <w:r>
        <w:rPr>
          <w:rFonts w:hint="eastAsia" w:ascii="宋体" w:hAnsi="宋体" w:eastAsia="宋体" w:cs="宋体"/>
          <w:color w:val="auto"/>
          <w:highlight w:val="none"/>
        </w:rPr>
        <w:t xml:space="preserve">30.签订合同</w:t>
      </w:r>
      <w:bookmarkEnd w:id="168"/>
      <w:r/>
      <w:bookmarkEnd w:id="169"/>
      <w:r/>
      <w:bookmarkEnd w:id="170"/>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30.3签订合同后，中标人不得将合同标的进行转包。未经采购人同意，中标人也不得采用分包的形式履行合同，否则采购人有权解除合同。转包或分包造成采购人损失的，中标人应承担相应赔偿责任。</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32.2进口产品</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32.3中小企业、监狱企业及残疾人福利性单位</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32.6政府采购创新产品</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 </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32.8履约保证金政策</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履约保证金金额为</w:t>
      </w:r>
      <w:r>
        <w:rPr>
          <w:rFonts w:hint="eastAsia" w:ascii="宋体" w:hAnsi="宋体" w:eastAsia="宋体" w:cs="宋体"/>
          <w:b/>
          <w:bCs/>
          <w:color w:val="auto"/>
          <w:highlight w:val="none"/>
          <w:u w:val="single"/>
        </w:rPr>
        <w:t xml:space="preserve">合同金额的</w:t>
      </w:r>
      <w:r>
        <w:rPr>
          <w:rFonts w:hint="eastAsia" w:ascii="宋体" w:hAnsi="宋体" w:eastAsia="宋体" w:cs="宋体"/>
          <w:b/>
          <w:bCs/>
          <w:color w:val="auto"/>
          <w:highlight w:val="none"/>
          <w:u w:val="single"/>
          <w:lang w:val="en-US" w:eastAsia="zh-CN"/>
        </w:rPr>
        <w:t xml:space="preserve">10</w:t>
      </w:r>
      <w:r>
        <w:rPr>
          <w:rFonts w:hint="eastAsia" w:ascii="宋体" w:hAnsi="宋体" w:eastAsia="宋体" w:cs="宋体"/>
          <w:b/>
          <w:bCs/>
          <w:color w:val="auto"/>
          <w:highlight w:val="none"/>
          <w:u w:val="single"/>
        </w:rPr>
        <w:t xml:space="preserve">%</w:t>
      </w:r>
      <w:r>
        <w:rPr>
          <w:rFonts w:hint="eastAsia" w:ascii="宋体" w:hAnsi="宋体" w:eastAsia="宋体" w:cs="宋体"/>
          <w:b/>
          <w:bCs/>
          <w:color w:val="auto"/>
          <w:highlight w:val="none"/>
          <w:u w:val="none"/>
          <w:lang w:eastAsia="zh-CN"/>
        </w:rPr>
        <w:t xml:space="preserve">，</w:t>
      </w:r>
      <w:r>
        <w:rPr>
          <w:rFonts w:hint="eastAsia" w:ascii="宋体" w:hAnsi="宋体" w:eastAsia="宋体" w:cs="宋体"/>
          <w:color w:val="auto"/>
          <w:highlight w:val="none"/>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0" w:after="0"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履约保证金允许供应商自主选择以支票、汇票、本票、保函等非现金形式缴纳或提交。</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rPr>
        <w:t xml:space="preserve">预付款制度</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本项目落实预付款制度，预付款比例为合同价款的</w:t>
      </w:r>
      <w:r>
        <w:rPr>
          <w:rFonts w:hint="eastAsia" w:ascii="宋体" w:hAnsi="宋体" w:eastAsia="宋体" w:cs="宋体"/>
          <w:color w:val="auto"/>
          <w:highlight w:val="none"/>
          <w:u w:val="single"/>
        </w:rPr>
        <w:t xml:space="preserve">30%</w:t>
      </w:r>
      <w:r>
        <w:rPr>
          <w:rFonts w:hint="eastAsia" w:ascii="宋体" w:hAnsi="宋体" w:eastAsia="宋体" w:cs="宋体"/>
          <w:color w:val="auto"/>
          <w:highlight w:val="none"/>
        </w:rPr>
        <w:t xml:space="preserve">。在签订合同时，中标、成交供应商明确书面表示无需预付款或者主动要求降低预付款比例的，采购人可就预付款比例作相应调整。</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34.其他</w:t>
      </w:r>
      <w:r/>
    </w:p>
    <w:p>
      <w:pPr>
        <w:pStyle w:val="966"/>
        <w:ind w:firstLine="482"/>
        <w:jc w:val="both"/>
        <w:spacing w:beforeAutospacing="0" w:afterAutospacing="0"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本项目招标代理服务费参照江苏省政府采购代理收费指导意见（苏政采协【2024】20号文）计取，供应商将以上费用考虑在投标报价中，但不单列，自行分摊至报价单价、合价中，招标完成后，由中标供应商在领取中标通知书前一次性向代理机构支付。</w:t>
      </w:r>
      <w:r/>
    </w:p>
    <w:p>
      <w:pPr>
        <w:pStyle w:val="9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jc w:val="center"/>
        <w:keepNext/>
        <w:spacing w:beforeAutospacing="0" w:afterAutospacing="0"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spacing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66"/>
        <w:ind w:right="840"/>
        <w:jc w:val="center"/>
        <w:spacing w:beforeAutospacing="0" w:afterAutospacing="0" w:line="360" w:lineRule="auto"/>
        <w:rPr>
          <w:rFonts w:hint="eastAsia" w:hAnsi="宋体" w:eastAsia="宋体" w:cs="宋体"/>
          <w:color w:val="auto"/>
          <w:sz w:val="24"/>
          <w:szCs w:val="24"/>
          <w:highlight w:val="none"/>
        </w:rPr>
      </w:pPr>
      <w:r>
        <w:rPr>
          <w:rFonts w:hint="eastAsia" w:ascii="黑体" w:hAnsi="黑体" w:eastAsia="黑体" w:cs="黑体"/>
          <w:color w:val="auto"/>
          <w:sz w:val="44"/>
          <w:szCs w:val="44"/>
          <w:highlight w:val="none"/>
        </w:rPr>
        <w:t xml:space="preserve">第三章  合同文本</w:t>
      </w:r>
      <w:r>
        <w:rPr>
          <w:rFonts w:hint="eastAsia" w:ascii="宋体" w:hAnsi="宋体" w:eastAsia="宋体" w:cs="宋体"/>
          <w:color w:val="auto"/>
          <w:highlight w:val="none"/>
        </w:rPr>
        <w:t xml:space="preserve"> </w:t>
      </w:r>
      <w:bookmarkStart w:id="171" w:name="_Toc479757211"/>
      <w:r/>
      <w:bookmarkStart w:id="172" w:name="_Toc20823346"/>
      <w:r/>
      <w:bookmarkStart w:id="173" w:name="_Toc462564139"/>
      <w:r/>
      <w:bookmarkStart w:id="174" w:name="_Toc120614244"/>
      <w:r/>
      <w:bookmarkStart w:id="175" w:name="_Toc16938590"/>
      <w:r/>
      <w:bookmarkStart w:id="176" w:name="_Hlt16619350"/>
      <w:r/>
      <w:bookmarkStart w:id="177" w:name="_Hlt16619369"/>
      <w:r/>
      <w:r/>
    </w:p>
    <w:p>
      <w:pPr>
        <w:pStyle w:val="983"/>
        <w:ind w:firstLine="562"/>
        <w:jc w:val="center"/>
        <w:spacing w:line="360" w:lineRule="auto"/>
        <w:rPr>
          <w:rFonts w:hint="eastAsia" w:hAnsi="宋体" w:eastAsia="宋体" w:cs="宋体"/>
          <w:color w:val="auto"/>
          <w:sz w:val="28"/>
          <w:szCs w:val="28"/>
          <w:highlight w:val="none"/>
        </w:rPr>
      </w:pPr>
      <w:r>
        <w:rPr>
          <w:rFonts w:hint="eastAsia" w:hAnsi="宋体" w:eastAsia="宋体" w:cs="宋体"/>
          <w:b/>
          <w:bCs/>
          <w:color w:val="auto"/>
          <w:sz w:val="28"/>
          <w:szCs w:val="28"/>
          <w:highlight w:val="none"/>
        </w:rPr>
        <w:t xml:space="preserve">政府采购合同（货物格式）</w:t>
      </w:r>
      <w:r>
        <w:rPr>
          <w:rFonts w:hint="eastAsia" w:ascii="宋体" w:hAnsi="宋体" w:eastAsia="宋体" w:cs="宋体"/>
          <w:b/>
          <w:color w:val="auto"/>
          <w:sz w:val="28"/>
          <w:szCs w:val="21"/>
          <w:highlight w:val="none"/>
        </w:rPr>
        <w:t xml:space="preserve">（合同编号）</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rPr>
          <w:rFonts w:hint="eastAsia" w:hAnsi="宋体" w:eastAsia="宋体" w:cs="宋体"/>
          <w:color w:val="auto"/>
          <w:sz w:val="24"/>
          <w:szCs w:val="24"/>
          <w:highlight w:val="none"/>
          <w:lang w:val="en-US" w:eastAsia="zh-CN"/>
        </w:rPr>
        <w:t xml:space="preserve">                                        </w:t>
      </w:r>
      <w:r>
        <w:rPr>
          <w:rFonts w:hint="eastAsia" w:hAnsi="宋体" w:eastAsia="宋体" w:cs="宋体"/>
          <w:color w:val="auto"/>
          <w:sz w:val="24"/>
          <w:szCs w:val="24"/>
          <w:highlight w:val="none"/>
        </w:rPr>
        <w:t xml:space="preserve">项目编号：</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甲方：</w:t>
      </w:r>
      <w:r>
        <w:rPr>
          <w:rFonts w:hint="eastAsia" w:hAnsi="宋体" w:eastAsia="宋体" w:cs="宋体"/>
          <w:color w:val="auto"/>
          <w:sz w:val="24"/>
          <w:szCs w:val="24"/>
          <w:highlight w:val="none"/>
          <w:u w:val="single"/>
        </w:rPr>
        <w:t xml:space="preserve">（买方）          </w:t>
      </w:r>
      <w:r>
        <w:rPr>
          <w:rFonts w:hint="eastAsia" w:hAnsi="宋体" w:eastAsia="宋体" w:cs="宋体"/>
          <w:color w:val="auto"/>
          <w:sz w:val="24"/>
          <w:szCs w:val="24"/>
          <w:highlight w:val="none"/>
        </w:rPr>
        <w:t xml:space="preserve">              </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乙方：</w:t>
      </w:r>
      <w:r>
        <w:rPr>
          <w:rFonts w:hint="eastAsia" w:hAnsi="宋体" w:eastAsia="宋体" w:cs="宋体"/>
          <w:color w:val="auto"/>
          <w:sz w:val="24"/>
          <w:szCs w:val="24"/>
          <w:highlight w:val="none"/>
          <w:u w:val="single"/>
        </w:rPr>
        <w:t xml:space="preserve">（卖方）          </w:t>
      </w:r>
      <w:r>
        <w:rPr>
          <w:rFonts w:hint="eastAsia" w:hAnsi="宋体" w:eastAsia="宋体" w:cs="宋体"/>
          <w:color w:val="auto"/>
          <w:sz w:val="24"/>
          <w:szCs w:val="24"/>
          <w:highlight w:val="none"/>
        </w:rPr>
        <w:t xml:space="preserve">              </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甲、乙双方根据</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公开招标的中标结果及中标通知书，依据《中华人民共和国民法典》《中华人民共和国政府采购法》等相关法律法规，本着平等自愿、公平公正、诚实信用原则，经双方协商一致后签署本合同。</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一、</w:t>
      </w:r>
      <w:r>
        <w:rPr>
          <w:rFonts w:hint="eastAsia" w:hAnsi="宋体" w:eastAsia="宋体" w:cs="宋体"/>
          <w:b/>
          <w:bCs/>
          <w:color w:val="auto"/>
          <w:sz w:val="24"/>
          <w:szCs w:val="24"/>
          <w:highlight w:val="none"/>
          <w:lang w:val="en-US" w:eastAsia="zh-CN"/>
        </w:rPr>
        <w:t xml:space="preserve">货物</w:t>
      </w:r>
      <w:r>
        <w:rPr>
          <w:rFonts w:hint="eastAsia" w:hAnsi="宋体" w:eastAsia="宋体" w:cs="宋体"/>
          <w:b/>
          <w:bCs/>
          <w:color w:val="auto"/>
          <w:sz w:val="24"/>
          <w:szCs w:val="24"/>
          <w:highlight w:val="none"/>
        </w:rPr>
        <w:t xml:space="preserve">内容</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 </w:t>
      </w:r>
      <w:r>
        <w:rPr>
          <w:rFonts w:hint="eastAsia" w:hAnsi="宋体" w:eastAsia="宋体" w:cs="宋体"/>
          <w:color w:val="auto"/>
          <w:sz w:val="24"/>
          <w:szCs w:val="24"/>
          <w:highlight w:val="none"/>
          <w:lang w:val="en-US" w:eastAsia="zh-CN"/>
        </w:rPr>
        <w:t xml:space="preserve">货物</w:t>
      </w:r>
      <w:r>
        <w:rPr>
          <w:rFonts w:hint="eastAsia" w:hAnsi="宋体" w:eastAsia="宋体" w:cs="宋体"/>
          <w:color w:val="auto"/>
          <w:sz w:val="24"/>
          <w:szCs w:val="24"/>
          <w:highlight w:val="none"/>
        </w:rPr>
        <w:t xml:space="preserve">名称：</w:t>
      </w:r>
      <w:r/>
    </w:p>
    <w:p>
      <w:pPr>
        <w:pStyle w:val="983"/>
        <w:ind w:firstLine="480"/>
        <w:spacing w:line="360" w:lineRule="auto"/>
        <w:rPr>
          <w:rFonts w:hint="eastAsia" w:hAnsi="宋体" w:eastAsia="宋体" w:cs="宋体"/>
          <w:color w:val="auto"/>
          <w:sz w:val="24"/>
          <w:szCs w:val="24"/>
          <w:highlight w:val="none"/>
          <w:u w:val="single"/>
          <w:lang w:val="en-US" w:eastAsia="zh-CN"/>
        </w:rPr>
      </w:pPr>
      <w:r>
        <w:rPr>
          <w:rFonts w:hint="eastAsia" w:hAnsi="宋体" w:eastAsia="宋体" w:cs="宋体"/>
          <w:color w:val="auto"/>
          <w:sz w:val="24"/>
          <w:szCs w:val="24"/>
          <w:highlight w:val="none"/>
        </w:rPr>
        <w:t xml:space="preserve">1.2 </w:t>
      </w:r>
      <w:r>
        <w:rPr>
          <w:rFonts w:hint="eastAsia" w:hAnsi="宋体" w:eastAsia="宋体" w:cs="宋体"/>
          <w:color w:val="auto"/>
          <w:sz w:val="24"/>
          <w:szCs w:val="24"/>
          <w:highlight w:val="none"/>
          <w:lang w:val="en-US" w:eastAsia="zh-CN"/>
        </w:rPr>
        <w:t xml:space="preserve">规格型号、</w:t>
      </w:r>
      <w:r>
        <w:rPr>
          <w:rFonts w:hint="eastAsia" w:hAnsi="宋体" w:eastAsia="宋体" w:cs="宋体"/>
          <w:color w:val="auto"/>
          <w:sz w:val="24"/>
          <w:szCs w:val="24"/>
          <w:highlight w:val="none"/>
        </w:rPr>
        <w:t xml:space="preserve">数量（规模）：</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rPr>
        <w:t xml:space="preserve">以本项目采购清单及中标投标清单为准</w:t>
      </w:r>
      <w:r>
        <w:rPr>
          <w:rFonts w:hint="eastAsia" w:hAnsi="宋体" w:eastAsia="宋体" w:cs="宋体"/>
          <w:color w:val="auto"/>
          <w:sz w:val="24"/>
          <w:szCs w:val="24"/>
          <w:highlight w:val="none"/>
          <w:u w:val="single"/>
          <w:lang w:val="en-US" w:eastAsia="zh-CN"/>
        </w:rPr>
        <w:t xml:space="preserve"> </w:t>
      </w:r>
      <w:r/>
    </w:p>
    <w:p>
      <w:pPr>
        <w:pStyle w:val="983"/>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1.3 履行时间（期限）：</w:t>
      </w:r>
      <w:r>
        <w:rPr>
          <w:rFonts w:hint="eastAsia" w:hAnsi="宋体" w:eastAsia="宋体" w:cs="宋体"/>
          <w:color w:val="auto"/>
          <w:sz w:val="24"/>
          <w:szCs w:val="24"/>
          <w:highlight w:val="none"/>
          <w:u w:val="single"/>
        </w:rPr>
        <w:t xml:space="preserve">自本合同签订之日起60日历天内完成本项目全部货物的采购、供应、运输、安装、调试等相关伴随服务，并通过甲方的验收。</w:t>
      </w:r>
      <w:r/>
    </w:p>
    <w:p>
      <w:pPr>
        <w:pStyle w:val="983"/>
        <w:ind w:firstLine="480"/>
        <w:spacing w:line="360" w:lineRule="auto"/>
        <w:rPr>
          <w:rFonts w:hint="default" w:hAnsi="宋体" w:eastAsia="宋体" w:cs="宋体"/>
          <w:color w:val="auto"/>
          <w:sz w:val="24"/>
          <w:szCs w:val="24"/>
          <w:highlight w:val="none"/>
          <w:u w:val="single"/>
          <w:lang w:val="en-US" w:eastAsia="zh-CN"/>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rPr>
        <w:t xml:space="preserve">履行地点：</w:t>
      </w:r>
      <w:r>
        <w:rPr>
          <w:rFonts w:hint="eastAsia" w:hAnsi="宋体" w:eastAsia="宋体" w:cs="宋体"/>
          <w:color w:val="auto"/>
          <w:sz w:val="24"/>
          <w:szCs w:val="24"/>
          <w:highlight w:val="none"/>
          <w:u w:val="single"/>
          <w:lang w:val="en-US" w:eastAsia="zh-CN"/>
        </w:rPr>
        <w:t xml:space="preserve">大丰区19所乡镇中学指定现场。</w:t>
      </w:r>
      <w:r/>
    </w:p>
    <w:p>
      <w:pPr>
        <w:pStyle w:val="983"/>
        <w:ind w:firstLine="480"/>
        <w:spacing w:line="360" w:lineRule="auto"/>
        <w:rPr>
          <w:rFonts w:hint="eastAsia" w:hAnsi="宋体" w:eastAsia="宋体" w:cs="宋体"/>
          <w:color w:val="auto"/>
          <w:sz w:val="24"/>
          <w:szCs w:val="24"/>
          <w:highlight w:val="none"/>
          <w:u w:val="single"/>
          <w:lang w:eastAsia="zh-CN"/>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5</w:t>
      </w:r>
      <w:r>
        <w:rPr>
          <w:rFonts w:hint="eastAsia" w:hAnsi="宋体" w:eastAsia="宋体" w:cs="宋体"/>
          <w:color w:val="auto"/>
          <w:sz w:val="24"/>
          <w:szCs w:val="24"/>
          <w:highlight w:val="none"/>
        </w:rPr>
        <w:t xml:space="preserve"> 履行方式：</w:t>
      </w:r>
      <w:r>
        <w:rPr>
          <w:rFonts w:hint="eastAsia" w:hAnsi="宋体" w:eastAsia="宋体" w:cs="宋体"/>
          <w:color w:val="auto"/>
          <w:sz w:val="24"/>
          <w:szCs w:val="24"/>
          <w:highlight w:val="none"/>
          <w:u w:val="single"/>
        </w:rPr>
        <w:t xml:space="preserve">严格按照甲方采购需求、招标文件要求及现场实际管理要求执行</w:t>
      </w:r>
      <w:r>
        <w:rPr>
          <w:rFonts w:hint="eastAsia" w:hAnsi="宋体" w:eastAsia="宋体" w:cs="宋体"/>
          <w:color w:val="auto"/>
          <w:sz w:val="24"/>
          <w:szCs w:val="24"/>
          <w:highlight w:val="none"/>
          <w:u w:val="single"/>
          <w:lang w:eastAsia="zh-CN"/>
        </w:rPr>
        <w:t xml:space="preserve">。</w:t>
      </w:r>
      <w:r/>
    </w:p>
    <w:p>
      <w:pPr>
        <w:pStyle w:val="983"/>
        <w:ind w:firstLine="480"/>
        <w:spacing w:line="360" w:lineRule="auto"/>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 包装方式：</w:t>
      </w:r>
      <w:r>
        <w:rPr>
          <w:rFonts w:hint="eastAsia" w:hAnsi="宋体" w:eastAsia="宋体" w:cs="宋体"/>
          <w:color w:val="auto"/>
          <w:sz w:val="24"/>
          <w:szCs w:val="24"/>
          <w:highlight w:val="none"/>
          <w:u w:val="single"/>
        </w:rPr>
        <w:t xml:space="preserve">全新原厂标准完整包装，符合政府采购包装环保及安全运输要求。</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二、合同金额</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2.1 本合同金额为</w:t>
      </w:r>
      <w:r>
        <w:rPr>
          <w:rFonts w:hint="eastAsia" w:hAnsi="宋体" w:eastAsia="宋体" w:cs="宋体"/>
          <w:color w:val="auto"/>
          <w:sz w:val="24"/>
          <w:szCs w:val="24"/>
          <w:highlight w:val="none"/>
          <w:u w:val="single"/>
        </w:rPr>
        <w:t xml:space="preserve">（大写）：        元</w:t>
      </w:r>
      <w:r>
        <w:rPr>
          <w:rFonts w:hint="eastAsia" w:hAnsi="宋体" w:eastAsia="宋体" w:cs="宋体"/>
          <w:color w:val="auto"/>
          <w:sz w:val="24"/>
          <w:szCs w:val="24"/>
          <w:highlight w:val="none"/>
        </w:rPr>
        <w:t xml:space="preserve">（____________元）人民币。乙方已充分考虑为完成全部招标内容并进行相关服务所必需的所有费用，各类风险和政策性调整等风险已包括在合同总价款中，其一切风险均由乙方自行负责。</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三、技术资料</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3.1乙方应按招标文件规定的时间向甲方提供使用货物(包含与货物相关的服务)和实现合同目的所需的有关技术资料。</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四、知识产权</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4.1乙方应保证甲方在使用、接受本合同货物和服务或其任何一部分时不受第三方提出侵犯其专利权、版权、商标权和工业设计权等知识产权的起诉。一旦出现侵权，由乙方负全部责任，同时消除对甲方产生的不利影响。</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五、产权担保</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5.1 乙方保证所交付的货物的所有权完全属于乙方且无任何抵押、查封等产权瑕疵。</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六、履约保证金</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6.1</w:t>
      </w:r>
      <w:r>
        <w:rPr>
          <w:rFonts w:hint="eastAsia" w:hAnsi="宋体" w:eastAsia="宋体" w:cs="宋体"/>
          <w:color w:val="auto"/>
          <w:sz w:val="24"/>
          <w:szCs w:val="24"/>
          <w:highlight w:val="none"/>
        </w:rPr>
        <w:t xml:space="preserve">乙方交纳人民币_____元作为本合同的履约保证金。[合同金额的</w:t>
      </w:r>
      <w:r>
        <w:rPr>
          <w:rFonts w:hint="eastAsia" w:hAnsi="宋体" w:eastAsia="宋体" w:cs="宋体"/>
          <w:color w:val="auto"/>
          <w:sz w:val="24"/>
          <w:szCs w:val="24"/>
          <w:highlight w:val="none"/>
          <w:lang w:val="en-US" w:eastAsia="zh-CN"/>
        </w:rPr>
        <w:t xml:space="preserve">10</w:t>
      </w:r>
      <w:r>
        <w:rPr>
          <w:rFonts w:hint="eastAsia" w:hAnsi="宋体" w:eastAsia="宋体" w:cs="宋体"/>
          <w:color w:val="auto"/>
          <w:sz w:val="24"/>
          <w:szCs w:val="24"/>
          <w:highlight w:val="none"/>
        </w:rPr>
        <w:t xml:space="preserve">%，鼓励采购人对AA评级及以上政府采购供应商（需提供信用管理部门备案的第三方信用报告），降低履约保证金缴纳比例为5%]</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2确需收取履约保证金的</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履约保证金的缴纳形式：</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乙方应当以支票、汇票、本票或者金融机构、担保机构出具的保函等非现金形式提交履约保证金。依据《关于在全省政府采购领域推行电子履约保函（保险）的通知》，鼓励</w:t>
      </w:r>
      <w:r>
        <w:rPr>
          <w:rFonts w:hint="eastAsia" w:hAnsi="宋体" w:eastAsia="宋体" w:cs="宋体"/>
          <w:color w:val="auto"/>
          <w:sz w:val="24"/>
          <w:szCs w:val="24"/>
          <w:highlight w:val="none"/>
          <w:lang w:val="en-US" w:eastAsia="zh-CN"/>
        </w:rPr>
        <w:t xml:space="preserve">乙方</w:t>
      </w:r>
      <w:r>
        <w:rPr>
          <w:rFonts w:hint="eastAsia" w:hAnsi="宋体" w:eastAsia="宋体" w:cs="宋体"/>
          <w:color w:val="auto"/>
          <w:sz w:val="24"/>
          <w:szCs w:val="24"/>
          <w:highlight w:val="none"/>
        </w:rPr>
        <w:t xml:space="preserve">自愿使用电子履约保函（保险）代替缴纳履约保证金。</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如以履约保函（保险）形式缴纳履约保证金，供应商可通过政府采购电子履约保函（保险）平台（WWW.jsdzbh.com）在线申请履约保函（保险）。</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6.3</w:t>
      </w:r>
      <w:r>
        <w:rPr>
          <w:rFonts w:hint="eastAsia" w:hAnsi="宋体" w:eastAsia="宋体" w:cs="宋体"/>
          <w:color w:val="auto"/>
          <w:sz w:val="24"/>
          <w:szCs w:val="24"/>
          <w:highlight w:val="none"/>
        </w:rPr>
        <w:t xml:space="preserve">合同履行结束后，甲方应及时退还交纳的履约保证金。</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6.3.1</w:t>
      </w:r>
      <w:r>
        <w:rPr>
          <w:rFonts w:hint="eastAsia" w:hAnsi="宋体" w:eastAsia="宋体" w:cs="宋体"/>
          <w:color w:val="auto"/>
          <w:sz w:val="24"/>
          <w:szCs w:val="24"/>
          <w:highlight w:val="none"/>
        </w:rPr>
        <w:t xml:space="preserve">履约保证金的退还：</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方式：无息退还至乙方缴纳履约保证金的账户。如为保函，在到期时自行失效。</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时间：验收合格且甲方收到发票后30日内。</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条件：按合同要求全部履约完成并经甲方验收合格，且甲方收到乙方出具的发票。</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6.3.2</w:t>
      </w:r>
      <w:r>
        <w:rPr>
          <w:rFonts w:hint="eastAsia" w:hAnsi="宋体" w:eastAsia="宋体" w:cs="宋体"/>
          <w:color w:val="auto"/>
          <w:sz w:val="24"/>
          <w:szCs w:val="24"/>
          <w:highlight w:val="none"/>
        </w:rPr>
        <w:t xml:space="preserve">不予退还情形：</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除不可抗力情况外，乙方出现下列情形之一的，其履约保证金，甲方将视情节决定不予退还或部分不予退还。</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（2）乙方不履行与</w:t>
      </w:r>
      <w:r>
        <w:rPr>
          <w:rFonts w:hint="eastAsia" w:hAnsi="宋体" w:eastAsia="宋体" w:cs="宋体"/>
          <w:color w:val="auto"/>
          <w:sz w:val="24"/>
          <w:szCs w:val="24"/>
          <w:highlight w:val="none"/>
          <w:lang w:val="en-US" w:eastAsia="zh-CN"/>
        </w:rPr>
        <w:t xml:space="preserve">甲方</w:t>
      </w:r>
      <w:r>
        <w:rPr>
          <w:rFonts w:hint="eastAsia" w:hAnsi="宋体" w:eastAsia="宋体" w:cs="宋体"/>
          <w:color w:val="auto"/>
          <w:sz w:val="24"/>
          <w:szCs w:val="24"/>
          <w:highlight w:val="none"/>
        </w:rPr>
        <w:t xml:space="preserve">订立的合同的；</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（3）乙方所供货物或服务不符合招标文件规定要求的；</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（4）乙方采取欺骗、弄虚作假方式投标的或与其他投标人串通投标的；</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（5）乙方将合同内容转包、违法分包的；</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（6）乙方故意捏造事实或伪造证明材料，进行虚假恶意投诉或反映的。</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七、转包或分包</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7.1本合同范围的货物</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服务</w:t>
      </w:r>
      <w:r>
        <w:rPr>
          <w:rFonts w:hint="eastAsia" w:hAnsi="宋体" w:eastAsia="宋体" w:cs="宋体"/>
          <w:color w:val="auto"/>
          <w:sz w:val="24"/>
          <w:szCs w:val="24"/>
          <w:highlight w:val="none"/>
        </w:rPr>
        <w:t xml:space="preserve">，应由乙方直接供应，不得转让他人供应；</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7.2 除非得到甲方的书面同意，乙方不得将本合同范围的货物、服务全部或部分分包给他人供应。</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7.3如有转让和未经甲方同意的分包行为，甲方有权解除合同，并追究乙方的违约责任。</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八、质保期</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8.1 质保期</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年。（自验收合格之日起计）</w:t>
      </w:r>
      <w:r/>
    </w:p>
    <w:p>
      <w:pPr>
        <w:pStyle w:val="983"/>
        <w:ind w:firstLine="482"/>
        <w:spacing w:line="360" w:lineRule="auto"/>
        <w:rPr>
          <w:rFonts w:hint="default"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rPr>
        <w:t xml:space="preserve">九、</w:t>
      </w:r>
      <w:r>
        <w:rPr>
          <w:rFonts w:hint="eastAsia" w:hAnsi="宋体" w:eastAsia="宋体" w:cs="宋体"/>
          <w:b/>
          <w:bCs/>
          <w:color w:val="auto"/>
          <w:sz w:val="24"/>
          <w:szCs w:val="24"/>
          <w:highlight w:val="none"/>
          <w:lang w:val="en-US" w:eastAsia="zh-CN"/>
        </w:rPr>
        <w:t xml:space="preserve">交货期</w:t>
      </w:r>
      <w:r>
        <w:rPr>
          <w:rFonts w:hint="eastAsia" w:hAnsi="宋体" w:eastAsia="宋体" w:cs="宋体"/>
          <w:b/>
          <w:bCs/>
          <w:color w:val="auto"/>
          <w:sz w:val="24"/>
          <w:szCs w:val="24"/>
          <w:highlight w:val="none"/>
        </w:rPr>
        <w:t xml:space="preserve">、交货方式及交货地点</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9.1 </w:t>
      </w:r>
      <w:r>
        <w:rPr>
          <w:rFonts w:hint="eastAsia" w:hAnsi="宋体" w:eastAsia="宋体" w:cs="宋体"/>
          <w:color w:val="auto"/>
          <w:sz w:val="24"/>
          <w:szCs w:val="24"/>
          <w:highlight w:val="none"/>
          <w:lang w:val="en-US" w:eastAsia="zh-CN"/>
        </w:rPr>
        <w:t xml:space="preserve">交货期：同</w:t>
      </w:r>
      <w:r>
        <w:rPr>
          <w:rFonts w:hint="eastAsia" w:hAnsi="宋体" w:eastAsia="宋体" w:cs="宋体"/>
          <w:color w:val="auto"/>
          <w:sz w:val="24"/>
          <w:szCs w:val="24"/>
          <w:highlight w:val="none"/>
        </w:rPr>
        <w:t xml:space="preserve">合同履行期限。</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9.2 交货方式：甲方指定地点并安装调试。</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9.3 交货地点：甲方指定地点。</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十、货款支付</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10.1付款方式：合同签订后且财政资金申请完成后，甲方收到预付款发票后支付相应合同金额30%作为预付款，货物安装调试完成并经甲方验收合格付至合同价款的</w:t>
      </w:r>
      <w:r>
        <w:rPr>
          <w:rFonts w:hint="eastAsia" w:hAnsi="宋体" w:eastAsia="宋体" w:cs="宋体"/>
          <w:color w:val="auto"/>
          <w:sz w:val="24"/>
          <w:szCs w:val="24"/>
          <w:highlight w:val="none"/>
          <w:lang w:val="en-US" w:eastAsia="zh-CN"/>
        </w:rPr>
        <w:t xml:space="preserve">7</w:t>
      </w:r>
      <w:r>
        <w:rPr>
          <w:rFonts w:hint="eastAsia" w:hAnsi="宋体" w:eastAsia="宋体" w:cs="宋体"/>
          <w:color w:val="auto"/>
          <w:sz w:val="24"/>
          <w:szCs w:val="24"/>
          <w:highlight w:val="none"/>
        </w:rPr>
        <w:t xml:space="preserve">0%（已支付的 30%预付款予以冲抵），</w:t>
      </w:r>
      <w:r>
        <w:rPr>
          <w:rFonts w:hint="eastAsia" w:hAnsi="宋体" w:eastAsia="宋体" w:cs="宋体"/>
          <w:color w:val="auto"/>
          <w:sz w:val="24"/>
          <w:szCs w:val="24"/>
          <w:highlight w:val="none"/>
          <w:lang w:val="en-US" w:eastAsia="zh-CN"/>
        </w:rPr>
        <w:t xml:space="preserve">验收合格满一年</w:t>
      </w:r>
      <w:r>
        <w:rPr>
          <w:rFonts w:hint="eastAsia" w:hAnsi="宋体" w:eastAsia="宋体" w:cs="宋体"/>
          <w:color w:val="auto"/>
          <w:sz w:val="24"/>
          <w:szCs w:val="24"/>
          <w:highlight w:val="none"/>
        </w:rPr>
        <w:t xml:space="preserve">付至合同价款的</w:t>
      </w:r>
      <w:r>
        <w:rPr>
          <w:rFonts w:hint="eastAsia" w:hAnsi="宋体" w:eastAsia="宋体" w:cs="宋体"/>
          <w:color w:val="auto"/>
          <w:sz w:val="24"/>
          <w:szCs w:val="24"/>
          <w:highlight w:val="none"/>
          <w:lang w:val="en-US" w:eastAsia="zh-CN"/>
        </w:rPr>
        <w:t xml:space="preserve">97</w:t>
      </w:r>
      <w:r>
        <w:rPr>
          <w:rFonts w:hint="eastAsia"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余款</w:t>
      </w:r>
      <w:r>
        <w:rPr>
          <w:rFonts w:hint="eastAsia" w:hAnsi="宋体" w:eastAsia="宋体" w:cs="宋体"/>
          <w:color w:val="auto"/>
          <w:sz w:val="24"/>
          <w:szCs w:val="24"/>
          <w:highlight w:val="none"/>
          <w:lang w:val="en-US" w:eastAsia="zh-CN"/>
        </w:rPr>
        <w:t xml:space="preserve">待</w:t>
      </w:r>
      <w:r>
        <w:rPr>
          <w:rFonts w:hint="eastAsia" w:hAnsi="宋体" w:eastAsia="宋体" w:cs="宋体"/>
          <w:color w:val="auto"/>
          <w:sz w:val="24"/>
          <w:szCs w:val="24"/>
          <w:highlight w:val="none"/>
        </w:rPr>
        <w:t xml:space="preserve">质保期满使用无质量问题后付清。</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付款前乙方需向甲方提供合法有效的发票和结算依据，否则甲方有权拒绝付款并不承担违约责任。</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合同</w:t>
      </w:r>
      <w:r>
        <w:rPr>
          <w:rFonts w:hint="eastAsia" w:hAnsi="宋体" w:eastAsia="宋体" w:cs="宋体"/>
          <w:color w:val="auto"/>
          <w:sz w:val="24"/>
          <w:szCs w:val="24"/>
          <w:highlight w:val="none"/>
          <w:lang w:val="en-US" w:eastAsia="zh-CN"/>
        </w:rPr>
        <w:t xml:space="preserve">价</w:t>
      </w:r>
      <w:r>
        <w:rPr>
          <w:rFonts w:hint="eastAsia" w:hAnsi="宋体" w:eastAsia="宋体" w:cs="宋体"/>
          <w:color w:val="auto"/>
          <w:sz w:val="24"/>
          <w:szCs w:val="24"/>
          <w:highlight w:val="none"/>
        </w:rPr>
        <w:t xml:space="preserve">款一律通过银行非现金结算，结算方式：转账。（按以上进度付款无任何利息补偿）</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10.2当采购数量与实际使用数量不一致时，乙方应根据实际使用量供货，合同的最终结算金额按实际使用量乘以成交单价进行计算。</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10.3如需向与财政部门签署融资合作协议的银行办理授信申请的, 需在协作银行开立结算户作为回款专用户,作为该笔合同唯一的收款</w:t>
      </w:r>
      <w:r>
        <w:rPr>
          <w:rFonts w:hint="eastAsia" w:hAnsi="宋体" w:eastAsia="宋体" w:cs="宋体"/>
          <w:color w:val="auto"/>
          <w:sz w:val="24"/>
          <w:szCs w:val="24"/>
          <w:highlight w:val="none"/>
          <w:lang w:val="en-US" w:eastAsia="zh-CN"/>
        </w:rPr>
        <w:t xml:space="preserve">账</w:t>
      </w:r>
      <w:r>
        <w:rPr>
          <w:rFonts w:hint="eastAsia" w:hAnsi="宋体" w:eastAsia="宋体" w:cs="宋体"/>
          <w:color w:val="auto"/>
          <w:sz w:val="24"/>
          <w:szCs w:val="24"/>
          <w:highlight w:val="none"/>
        </w:rPr>
        <w:t xml:space="preserve">户，供货结束货款结算时，财政部门将政府采购款项直接支付到该账户。</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十一.税费</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11.1本合同</w:t>
      </w:r>
      <w:r>
        <w:rPr>
          <w:rFonts w:hint="eastAsia" w:hAnsi="宋体" w:eastAsia="宋体" w:cs="宋体"/>
          <w:color w:val="auto"/>
          <w:sz w:val="24"/>
          <w:szCs w:val="24"/>
          <w:highlight w:val="none"/>
          <w:lang w:val="en-US" w:eastAsia="zh-CN"/>
        </w:rPr>
        <w:t xml:space="preserve">履</w:t>
      </w:r>
      <w:r>
        <w:rPr>
          <w:rFonts w:hint="eastAsia" w:hAnsi="宋体" w:eastAsia="宋体" w:cs="宋体"/>
          <w:color w:val="auto"/>
          <w:sz w:val="24"/>
          <w:szCs w:val="24"/>
          <w:highlight w:val="none"/>
        </w:rPr>
        <w:t xml:space="preserve">行中相关的一切税费均由乙方负担。</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十二、质量保证及售后服务</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12.1乙方应按招标文件规定的货物性能、技术要求、质量标准向甲方提供未经使用的全新产品。</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12.2乙方提供的货物在质保期内因货物本身的质量问题发生故障，乙方应负责免费更换。对达不到技术要求者，根据实际情况，经双方协商，可按以下办法处理：</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⑴更换：由乙方承担所发生的全部费用。</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⑵贬值处理：由甲乙双方合议定价。</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12.3 货物自安装完毕验收合格之日算起，乙方提供所供产品</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年免费质保期（人为除外，人为原因损坏收取相应的成本费用）。货物（含零部件、配件等）必须全新，无损伤、无变形、油漆喷涂均匀、无脱落等质量问题。</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12.4 质保期内除人为损坏，乙方对所供货物保修及技术支持要求48小时内解决，逾期未解决，甲方有权自行解决或委托第三方解决，所产生费用由乙方支付。</w:t>
      </w:r>
      <w:r/>
    </w:p>
    <w:p>
      <w:pPr>
        <w:pStyle w:val="983"/>
        <w:ind w:firstLine="480"/>
        <w:spacing w:line="360" w:lineRule="auto"/>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12.5 质保期外，甲方如出现售后问题，乙方不得无理由拒绝提供售后服务并按同等市场价收取相关材料及维修费用。</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十三、调试和验收</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13.1 供货安装前，供货前须提供具备CMA 资质第三方检测报告，报告须包含公寓床尺寸规格、钢管壁厚、结构力学承重、护栏安全防护、焊接质量、板材环保甲醛释放量、涂层重金属及理化性能等全项合格检测内容。若无法提供或提供的材料不符合要求或被发现弄虚作假的，将相关情况通报财政监督部门予以严肃处理，由此引起的一切后果由乙方承担。</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13.2</w:t>
      </w:r>
      <w:r>
        <w:rPr>
          <w:rFonts w:hint="eastAsia" w:hAnsi="宋体" w:eastAsia="宋体" w:cs="宋体"/>
          <w:color w:val="auto"/>
          <w:sz w:val="24"/>
          <w:szCs w:val="24"/>
          <w:highlight w:val="none"/>
        </w:rPr>
        <w:t xml:space="preserve">货物到货安装施工完毕后，甲方将委托具备 CMA 资质的第三方检测机构进行随机抽样</w:t>
      </w:r>
      <w:r>
        <w:rPr>
          <w:rFonts w:hint="eastAsia" w:hAnsi="宋体" w:eastAsia="宋体" w:cs="宋体"/>
          <w:color w:val="auto"/>
          <w:sz w:val="24"/>
          <w:szCs w:val="24"/>
          <w:highlight w:val="none"/>
          <w:lang w:val="en-US" w:eastAsia="zh-CN"/>
        </w:rPr>
        <w:t xml:space="preserve">复</w:t>
      </w:r>
      <w:r>
        <w:rPr>
          <w:rFonts w:hint="eastAsia" w:hAnsi="宋体" w:eastAsia="宋体" w:cs="宋体"/>
          <w:color w:val="auto"/>
          <w:sz w:val="24"/>
          <w:szCs w:val="24"/>
          <w:highlight w:val="none"/>
        </w:rPr>
        <w:t xml:space="preserve">检，抽检</w:t>
      </w:r>
      <w:r>
        <w:rPr>
          <w:rFonts w:hint="eastAsia" w:hAnsi="宋体" w:eastAsia="宋体" w:cs="宋体"/>
          <w:color w:val="auto"/>
          <w:sz w:val="24"/>
          <w:szCs w:val="24"/>
          <w:highlight w:val="none"/>
          <w:lang w:val="en-US" w:eastAsia="zh-CN"/>
        </w:rPr>
        <w:t xml:space="preserve">内容</w:t>
      </w:r>
      <w:r>
        <w:rPr>
          <w:rFonts w:hint="eastAsia" w:hAnsi="宋体" w:eastAsia="宋体" w:cs="宋体"/>
          <w:color w:val="auto"/>
          <w:sz w:val="24"/>
          <w:szCs w:val="24"/>
          <w:highlight w:val="none"/>
        </w:rPr>
        <w:t xml:space="preserve">包含环保有害物质含量关键指标检测结论，所有</w:t>
      </w:r>
      <w:r>
        <w:rPr>
          <w:rFonts w:hint="eastAsia" w:hAnsi="宋体" w:eastAsia="宋体" w:cs="宋体"/>
          <w:color w:val="auto"/>
          <w:sz w:val="24"/>
          <w:szCs w:val="24"/>
          <w:highlight w:val="none"/>
          <w:lang w:val="en-US" w:eastAsia="zh-CN"/>
        </w:rPr>
        <w:t xml:space="preserve">大货样品</w:t>
      </w:r>
      <w:r>
        <w:rPr>
          <w:rFonts w:hint="eastAsia" w:hAnsi="宋体" w:eastAsia="宋体" w:cs="宋体"/>
          <w:color w:val="auto"/>
          <w:sz w:val="24"/>
          <w:szCs w:val="24"/>
          <w:highlight w:val="none"/>
        </w:rPr>
        <w:t xml:space="preserve">抽样</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送检、</w:t>
      </w:r>
      <w:r>
        <w:rPr>
          <w:rFonts w:hint="eastAsia" w:hAnsi="宋体" w:eastAsia="宋体" w:cs="宋体"/>
          <w:color w:val="auto"/>
          <w:sz w:val="24"/>
          <w:szCs w:val="24"/>
          <w:highlight w:val="none"/>
        </w:rPr>
        <w:t xml:space="preserve">检测相关费用均由乙方全额承担</w:t>
      </w:r>
      <w:r>
        <w:rPr>
          <w:rFonts w:hint="eastAsia" w:hAnsi="宋体" w:eastAsia="宋体" w:cs="宋体"/>
          <w:color w:val="auto"/>
          <w:sz w:val="24"/>
          <w:szCs w:val="24"/>
          <w:highlight w:val="none"/>
          <w:lang w:eastAsia="zh-CN"/>
        </w:rPr>
        <w:t xml:space="preserve">，不合格必须全部返工更换并承担一切损失。</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13.</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13.</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rPr>
        <w:t xml:space="preserve">验收时乙方必须在现场，验收完毕后作出验收结果报告。</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十四、货物包装、发运及运输</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14.2 使用说明书、质量检验证明书、随配附件和工具以及清单一并附于货物内。</w:t>
      </w:r>
      <w:r/>
    </w:p>
    <w:p>
      <w:pPr>
        <w:pStyle w:val="983"/>
        <w:ind w:firstLine="480"/>
        <w:spacing w:line="360" w:lineRule="auto"/>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rPr>
        <w:t xml:space="preserve">14.3 乙方在货物发运手续办理完毕后24小时内或货到甲方48小时前通知甲方，以准备接货。</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十五、违约责任</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15.1 甲方无正当理由拒收货物的，甲方向乙方偿付拒收货款总值的百分之五违约金。</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15.2甲方无故逾期验收和办理货款支付手续的,甲方应按逾期付款总额每日按LPR4倍向乙方支付违约金。</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15.3乙方逾期交付货物的，乙方应按逾期交货总额每日</w:t>
      </w:r>
      <w:r>
        <w:rPr>
          <w:rFonts w:hint="eastAsia" w:hAnsi="宋体" w:eastAsia="宋体" w:cs="宋体"/>
          <w:color w:val="auto"/>
          <w:sz w:val="24"/>
          <w:szCs w:val="24"/>
          <w:highlight w:val="none"/>
          <w:lang w:val="en-US" w:eastAsia="zh-CN"/>
        </w:rPr>
        <w:t xml:space="preserve">万分之五</w:t>
      </w:r>
      <w:r>
        <w:rPr>
          <w:rFonts w:hint="eastAsia"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w:t>
      </w:r>
      <w:r>
        <w:rPr>
          <w:rFonts w:hint="eastAsia" w:hAnsi="宋体" w:eastAsia="宋体" w:cs="宋体"/>
          <w:color w:val="auto"/>
          <w:sz w:val="24"/>
          <w:szCs w:val="24"/>
          <w:highlight w:val="none"/>
          <w:lang w:val="en-US" w:eastAsia="zh-CN"/>
        </w:rPr>
        <w:t xml:space="preserve">实际损失10</w:t>
      </w:r>
      <w:r>
        <w:rPr>
          <w:rFonts w:hint="eastAsia" w:hAnsi="宋体" w:eastAsia="宋体" w:cs="宋体"/>
          <w:color w:val="auto"/>
          <w:sz w:val="24"/>
          <w:szCs w:val="24"/>
          <w:highlight w:val="none"/>
        </w:rPr>
        <w:t xml:space="preserve">%的违约金，如造成甲方损失超过违约金的，超出部分由乙方继续承担赔偿责任。</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十六、不可抗力事件处理</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16.2 不可抗力事件发生后，应立即通知对方，并寄送有关权威机构出具的证明。</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16.3 不可抗力事件延续120天以上，双方应通过友好协商，确定是否继续履行合同。</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十七、争议解决</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17.1 双方在</w:t>
      </w:r>
      <w:r>
        <w:rPr>
          <w:rFonts w:hint="eastAsia" w:hAnsi="宋体" w:eastAsia="宋体" w:cs="宋体"/>
          <w:color w:val="auto"/>
          <w:sz w:val="24"/>
          <w:szCs w:val="24"/>
          <w:highlight w:val="none"/>
          <w:lang w:val="en-US" w:eastAsia="zh-CN"/>
        </w:rPr>
        <w:t xml:space="preserve">履</w:t>
      </w:r>
      <w:r>
        <w:rPr>
          <w:rFonts w:hint="eastAsia" w:hAnsi="宋体" w:eastAsia="宋体" w:cs="宋体"/>
          <w:color w:val="auto"/>
          <w:sz w:val="24"/>
          <w:szCs w:val="24"/>
          <w:highlight w:val="none"/>
        </w:rPr>
        <w:t xml:space="preserve">行合同中所发生的一切争议，应通过协商解决。如协商不成，可向合同签订地法院起诉，合同签订地在此约定为</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u w:val="single"/>
        </w:rPr>
        <w:t xml:space="preserve">盐城市大丰区</w:t>
      </w:r>
      <w:r>
        <w:rPr>
          <w:rFonts w:hint="eastAsia" w:hAnsi="宋体" w:eastAsia="宋体" w:cs="宋体"/>
          <w:color w:val="auto"/>
          <w:sz w:val="24"/>
          <w:szCs w:val="24"/>
          <w:highlight w:val="none"/>
          <w:u w:val="single"/>
          <w:lang w:val="en-US" w:eastAsia="zh-CN"/>
        </w:rPr>
        <w:t xml:space="preserve"> </w:t>
      </w:r>
      <w:r>
        <w:rPr>
          <w:rFonts w:hint="eastAsia" w:hAnsi="宋体" w:eastAsia="宋体" w:cs="宋体"/>
          <w:color w:val="auto"/>
          <w:sz w:val="24"/>
          <w:szCs w:val="24"/>
          <w:highlight w:val="none"/>
        </w:rPr>
        <w:t xml:space="preserve">。</w:t>
      </w:r>
      <w:r/>
    </w:p>
    <w:p>
      <w:pPr>
        <w:pStyle w:val="983"/>
        <w:ind w:firstLine="482"/>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t xml:space="preserve">十八、合同生效及其它</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18.1 合同经双方法定代表人或授权委托代</w:t>
      </w:r>
      <w:r>
        <w:rPr>
          <w:rFonts w:hint="eastAsia" w:hAnsi="宋体" w:eastAsia="宋体" w:cs="宋体"/>
          <w:color w:val="auto"/>
          <w:sz w:val="24"/>
          <w:szCs w:val="24"/>
          <w:highlight w:val="none"/>
          <w:lang w:val="en-US" w:eastAsia="zh-CN"/>
        </w:rPr>
        <w:t xml:space="preserve">理</w:t>
      </w:r>
      <w:r>
        <w:rPr>
          <w:rFonts w:hint="eastAsia" w:hAnsi="宋体" w:eastAsia="宋体" w:cs="宋体"/>
          <w:color w:val="auto"/>
          <w:sz w:val="24"/>
          <w:szCs w:val="24"/>
          <w:highlight w:val="none"/>
        </w:rPr>
        <w:t xml:space="preserve">人签</w:t>
      </w:r>
      <w:r>
        <w:rPr>
          <w:rFonts w:hint="eastAsia" w:hAnsi="宋体" w:eastAsia="宋体" w:cs="宋体"/>
          <w:color w:val="auto"/>
          <w:sz w:val="24"/>
          <w:szCs w:val="24"/>
          <w:highlight w:val="none"/>
          <w:lang w:val="en-US" w:eastAsia="zh-CN"/>
        </w:rPr>
        <w:t xml:space="preserve">名</w:t>
      </w:r>
      <w:r>
        <w:rPr>
          <w:rFonts w:hint="eastAsia" w:hAnsi="宋体" w:eastAsia="宋体" w:cs="宋体"/>
          <w:color w:val="auto"/>
          <w:sz w:val="24"/>
          <w:szCs w:val="24"/>
          <w:highlight w:val="none"/>
        </w:rPr>
        <w:t xml:space="preserve">并加盖单位公章后生效。</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18.2本合同未尽事宜，遵照《民法典》、《政府采购法》有关条文执行。</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18.3 本合同一式肆份，具有同等法律效力，甲方、乙方各执两份。</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甲方（公章）：                         　　　乙方（公章）：</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w:t>
      </w:r>
      <w:r>
        <w:rPr>
          <w:rFonts w:hint="eastAsia" w:hAnsi="宋体" w:eastAsia="宋体" w:cs="宋体"/>
          <w:color w:val="auto"/>
          <w:sz w:val="24"/>
          <w:szCs w:val="24"/>
          <w:highlight w:val="none"/>
          <w:lang w:val="en-US" w:eastAsia="zh-CN"/>
        </w:rPr>
        <w:t xml:space="preserve">或其</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法定代表人或其                                    </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授权代理人</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val="en-US" w:eastAsia="zh-CN"/>
        </w:rPr>
        <w:t xml:space="preserve"> </w:t>
      </w:r>
      <w:r>
        <w:rPr>
          <w:rFonts w:hint="eastAsia" w:hAnsi="宋体" w:eastAsia="宋体" w:cs="宋体"/>
          <w:color w:val="auto"/>
          <w:sz w:val="24"/>
          <w:szCs w:val="24"/>
          <w:highlight w:val="none"/>
        </w:rPr>
        <w:t xml:space="preserve">授权代理人</w:t>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83"/>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签订日期：         年     月     日</w:t>
      </w:r>
      <w:r/>
    </w:p>
    <w:p>
      <w:pPr>
        <w:pStyle w:val="966"/>
        <w:jc w:val="center"/>
        <w:spacing w:before="120" w:beforeAutospacing="0" w:after="120" w:afterAutospacing="0" w:line="360" w:lineRule="auto"/>
        <w:rPr>
          <w:rFonts w:hint="eastAsia" w:ascii="黑体" w:hAnsi="宋体" w:eastAsia="黑体" w:cs="黑体"/>
          <w:color w:val="auto"/>
          <w:sz w:val="44"/>
          <w:szCs w:val="44"/>
          <w:highlight w:val="none"/>
        </w:rPr>
        <w:sectPr>
          <w:footerReference w:type="default" r:id="rId12"/>
          <w:footnotePr/>
          <w:endnotePr/>
          <w:type w:val="nextPage"/>
          <w:pgSz w:w="11906" w:h="16838" w:orient="portrait"/>
          <w:pgMar w:top="1134" w:right="1134" w:bottom="1134" w:left="1134" w:header="851" w:footer="992" w:gutter="0"/>
          <w:cols w:num="1" w:sep="0" w:space="425" w:equalWidth="1"/>
          <w:docGrid w:linePitch="360"/>
        </w:sectPr>
      </w:pPr>
      <w:r>
        <w:rPr>
          <w:rFonts w:hint="eastAsia" w:ascii="黑体" w:hAnsi="宋体" w:eastAsia="黑体" w:cs="黑体"/>
          <w:color w:val="auto"/>
          <w:sz w:val="44"/>
          <w:szCs w:val="44"/>
          <w:highlight w:val="none"/>
        </w:rPr>
        <w:t xml:space="preserve"> </w:t>
      </w:r>
      <w:r/>
    </w:p>
    <w:p>
      <w:pPr>
        <w:pStyle w:val="983"/>
        <w:ind w:firstLine="723"/>
        <w:jc w:val="center"/>
        <w:spacing w:line="360" w:lineRule="auto"/>
        <w:rPr>
          <w:rFonts w:hint="eastAsia" w:hAnsi="宋体" w:eastAsia="宋体" w:cs="宋体"/>
          <w:b/>
          <w:bCs/>
          <w:color w:val="auto"/>
          <w:sz w:val="36"/>
          <w:szCs w:val="36"/>
          <w:highlight w:val="none"/>
          <w:lang w:val="en-US"/>
        </w:rPr>
      </w:pPr>
      <w:r>
        <w:rPr>
          <w:rFonts w:hint="eastAsia" w:hAnsi="宋体" w:eastAsia="宋体" w:cs="宋体"/>
          <w:b/>
          <w:bCs/>
          <w:color w:val="auto"/>
          <w:sz w:val="36"/>
          <w:szCs w:val="36"/>
          <w:highlight w:val="none"/>
          <w:lang w:val="en-US" w:eastAsia="zh-CN"/>
        </w:rPr>
        <w:t xml:space="preserve">廉 政 合 同</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乙方： </w:t>
      </w:r>
      <w:r>
        <w:rPr>
          <w:rFonts w:hint="eastAsia" w:ascii="宋体" w:hAnsi="宋体" w:eastAsia="宋体" w:cs="宋体"/>
          <w:color w:val="auto"/>
          <w:sz w:val="24"/>
          <w:szCs w:val="24"/>
          <w:highlight w:val="none"/>
          <w:u w:val="single"/>
          <w:lang w:val="en-US" w:eastAsia="zh-CN" w:bidi="ar"/>
        </w:rPr>
        <w:t xml:space="preserve">                    </w:t>
      </w:r>
      <w:r/>
    </w:p>
    <w:p>
      <w:pPr>
        <w:pStyle w:val="966"/>
        <w:ind w:left="0" w:right="0" w:firstLine="422"/>
        <w:jc w:val="left"/>
        <w:keepLines w:val="0"/>
        <w:keepNext w:val="0"/>
        <w:pageBreakBefore w:val="0"/>
        <w:spacing w:before="0" w:beforeAutospacing="0" w:after="0" w:afterAutospacing="0" w:line="324"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为强化抓源治本工作力度，从制度机制上进一步规范</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采购行为，杜绝不廉洁行为，特订立本合同，双方遵照执行。</w:t>
      </w:r>
      <w:r/>
    </w:p>
    <w:p>
      <w:pPr>
        <w:pStyle w:val="966"/>
        <w:ind w:left="0" w:right="0" w:firstLine="422"/>
        <w:jc w:val="left"/>
        <w:keepLines w:val="0"/>
        <w:keepNext w:val="0"/>
        <w:pageBreakBefore w:val="0"/>
        <w:spacing w:before="0" w:beforeAutospacing="0" w:after="0" w:afterAutospacing="0" w:line="324"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一、双方权利义务</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1、甲方、乙方双方必须严格遵守国家法律、法规、政策及各项廉政规定，恪守职业道德规范。</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2、甲方、乙方双方在具体项目采购行为中，必须严格遵守招投标法规定的原则、方式、程序，保证公平、公正、公开。</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3、甲方、乙方双方不得相互串通，损害国家利益、社会公共利益及其他当事人的合法权益。</w:t>
      </w:r>
      <w:r/>
    </w:p>
    <w:p>
      <w:pPr>
        <w:pStyle w:val="966"/>
        <w:ind w:left="0" w:right="0" w:firstLine="210"/>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6、甲方工作人员及其配偶、子女不得以打“业务牌”等形式变相接受乙方的钱物；乙方不得以打“业务牌”的形式向甲方工作人员及其配偶、子女变相送钱物。</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7、甲方工作人员及其配偶、子女不得在乙方报销应由个人支付的费用或领取报酬；乙方不得为甲方工作人员及其配偶、子女报销应由个人支付的费用或发放报酬。</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二、违约责任：</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1、甲方发生违约行为，一经查实将视情节轻重对直接责任人进行严肃处理并追究主管人员的责任。</w:t>
      </w:r>
      <w:r/>
    </w:p>
    <w:p>
      <w:pPr>
        <w:pStyle w:val="966"/>
        <w:ind w:left="0" w:right="0" w:firstLine="422"/>
        <w:jc w:val="left"/>
        <w:keepLines w:val="0"/>
        <w:keepNext w:val="0"/>
        <w:pageBreakBefore w:val="0"/>
        <w:spacing w:before="0" w:beforeAutospacing="0" w:after="0" w:afterAutospacing="0" w:line="324"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2、乙方发生违约行为，甲方有权解除合同，并将其列入“黑名单”在一定范围内公布，三年内不得参加辖区内的项目采购。</w:t>
      </w:r>
      <w:r/>
    </w:p>
    <w:p>
      <w:pPr>
        <w:pStyle w:val="966"/>
        <w:ind w:left="0" w:right="0" w:firstLine="422"/>
        <w:jc w:val="left"/>
        <w:keepLines w:val="0"/>
        <w:keepNext w:val="0"/>
        <w:pageBreakBefore w:val="0"/>
        <w:spacing w:before="0" w:beforeAutospacing="0" w:after="0" w:afterAutospacing="0" w:line="324" w:lineRule="auto"/>
        <w:widowControl w:val="off"/>
        <w:rPr>
          <w:rFonts w:hAnsi="宋体" w:eastAsia="宋体" w:cs="宋体"/>
          <w:color w:val="auto"/>
          <w:sz w:val="24"/>
          <w:szCs w:val="24"/>
          <w:highlight w:val="none"/>
          <w:lang w:val="en-US"/>
        </w:rPr>
        <w:suppressLineNumbers w:val="0"/>
      </w:pPr>
      <w:r>
        <w:rPr>
          <w:rFonts w:hint="eastAsia" w:ascii="宋体" w:hAnsi="宋体" w:cs="宋体"/>
          <w:color w:val="auto"/>
          <w:sz w:val="24"/>
          <w:highlight w:val="none"/>
          <w:lang w:val="en-US" w:eastAsia="zh-CN"/>
        </w:rPr>
        <w:t xml:space="preserve">三、本合同自双方盖章、法定代表人或授权代理人签名后生效，甲、乙双方所签订的廉政合同的实效与采购合同时效等同。</w:t>
      </w: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48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甲方</w:t>
      </w:r>
      <w:r>
        <w:rPr>
          <w:rFonts w:hint="eastAsia"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en-US" w:eastAsia="zh-CN" w:bidi="ar"/>
        </w:rPr>
        <w:t xml:space="preserve">：                             乙方</w:t>
      </w:r>
      <w:r>
        <w:rPr>
          <w:rFonts w:hint="eastAsia"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480" w:lineRule="auto"/>
        <w:widowControl w:val="off"/>
        <w:tabs>
          <w:tab w:val="left" w:pos="4962"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法定（授权）代表人：                       法定（授权）代表人：</w:t>
      </w:r>
      <w:r/>
    </w:p>
    <w:p>
      <w:pPr>
        <w:ind w:left="0" w:right="0" w:firstLine="420"/>
        <w:jc w:val="both"/>
        <w:keepLines w:val="0"/>
        <w:keepNext w:val="0"/>
        <w:pageBreakBefore w:val="0"/>
        <w:spacing w:before="0" w:beforeAutospacing="0" w:after="0" w:afterAutospacing="0" w:line="480" w:lineRule="auto"/>
        <w:widowControl w:val="off"/>
        <w:rPr>
          <w:rFonts w:hint="eastAsia" w:hAnsi="宋体"/>
          <w:color w:val="auto"/>
          <w:sz w:val="44"/>
          <w:szCs w:val="44"/>
          <w:highlight w:val="none"/>
        </w:rPr>
        <w:suppressLineNumbers w:val="0"/>
      </w:pPr>
      <w:r>
        <w:rPr>
          <w:rFonts w:hint="eastAsia" w:ascii="宋体" w:hAnsi="宋体" w:eastAsia="宋体" w:cs="宋体"/>
          <w:color w:val="auto"/>
          <w:sz w:val="24"/>
          <w:szCs w:val="24"/>
          <w:highlight w:val="none"/>
          <w:lang w:val="en-US" w:eastAsia="zh-CN" w:bidi="ar"/>
        </w:rPr>
        <w:t xml:space="preserve">签字日期：      年   月   日               签字日期：      年   月   日</w:t>
      </w:r>
      <w:r/>
    </w:p>
    <w:p>
      <w:pPr>
        <w:jc w:val="center"/>
        <w:keepLines w:val="0"/>
        <w:keepNext w:val="0"/>
        <w:pageBreakBefore w:val="0"/>
        <w:spacing w:after="157" w:line="360" w:lineRule="auto"/>
        <w:widowControl w:val="off"/>
        <w:rPr>
          <w:color w:val="auto"/>
          <w:sz w:val="36"/>
          <w:szCs w:val="36"/>
          <w:highlight w:val="none"/>
        </w:rPr>
      </w:pPr>
      <w:r>
        <w:rPr>
          <w:rFonts w:hint="eastAsia" w:hAnsi="宋体"/>
          <w:color w:val="auto"/>
          <w:sz w:val="36"/>
          <w:szCs w:val="36"/>
          <w:highlight w:val="none"/>
        </w:rPr>
        <w:t xml:space="preserve">政府采购合同履约验收书</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根据政府采购合同（编号：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）的约定，我单位组织对</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项目中标（成交）供应商</w:t>
      </w:r>
      <w:r>
        <w:rPr>
          <w:rFonts w:hint="eastAsia" w:asciiTheme="minorEastAsia" w:hAnsiTheme="minorEastAsia" w:eastAsiaTheme="minorEastAsia" w:cstheme="minorEastAsia"/>
          <w:color w:val="auto"/>
          <w:sz w:val="24"/>
          <w:szCs w:val="24"/>
          <w:highlight w:val="none"/>
          <w:u w:val="single"/>
        </w:rPr>
        <w:t xml:space="preserve">（公司名称）</w:t>
      </w:r>
      <w:r>
        <w:rPr>
          <w:rFonts w:hint="eastAsia" w:asciiTheme="minorEastAsia" w:hAnsiTheme="minorEastAsia" w:eastAsiaTheme="minorEastAsia" w:cstheme="minorEastAsia"/>
          <w:color w:val="auto"/>
          <w:sz w:val="24"/>
          <w:szCs w:val="24"/>
          <w:highlight w:val="none"/>
        </w:rPr>
        <w:t xml:space="preserve">提供的</w:t>
      </w:r>
      <w:r>
        <w:rPr>
          <w:rFonts w:hint="eastAsia" w:asciiTheme="minorEastAsia" w:hAnsiTheme="minorEastAsia" w:cstheme="minorEastAsia"/>
          <w:color w:val="auto"/>
          <w:sz w:val="24"/>
          <w:szCs w:val="24"/>
          <w:highlight w:val="none"/>
          <w:lang w:val="en-US" w:eastAsia="zh-CN"/>
        </w:rPr>
        <w:t xml:space="preserve">货物</w:t>
      </w:r>
      <w:r>
        <w:rPr>
          <w:rFonts w:hint="eastAsia" w:asciiTheme="minorEastAsia" w:hAnsiTheme="minorEastAsia" w:eastAsiaTheme="minorEastAsia" w:cstheme="minorEastAsia"/>
          <w:color w:val="auto"/>
          <w:sz w:val="24"/>
          <w:szCs w:val="24"/>
          <w:highlight w:val="none"/>
        </w:rPr>
        <w:t xml:space="preserve">进行了履约验收，验收情况如下：</w:t>
      </w:r>
      <w:r/>
    </w:p>
    <w:tbl>
      <w:tblPr>
        <w:tblStyle w:val="95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6"/>
        <w:gridCol w:w="1885"/>
        <w:gridCol w:w="2857"/>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Borders>
              <w:top w:val="single" w:color="auto" w:sz="8" w:space="0"/>
              <w:left w:val="none" w:color="000000" w:sz="4" w:space="0"/>
              <w:bottom w:val="single" w:color="auto" w:sz="4" w:space="0"/>
              <w:right w:val="single" w:color="auto" w:sz="4" w:space="0"/>
            </w:tcBorders>
            <w:tcW w:w="957"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项目地点</w:t>
            </w:r>
            <w:r/>
          </w:p>
        </w:tc>
        <w:tc>
          <w:tcPr>
            <w:tcBorders>
              <w:top w:val="single" w:color="auto" w:sz="8" w:space="0"/>
              <w:left w:val="none" w:color="000000" w:sz="4" w:space="0"/>
              <w:bottom w:val="single" w:color="auto" w:sz="4" w:space="0"/>
              <w:right w:val="single" w:color="auto" w:sz="8" w:space="0"/>
            </w:tcBorders>
            <w:tcW w:w="144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957"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承接单位</w:t>
            </w:r>
            <w:r/>
          </w:p>
        </w:tc>
        <w:tc>
          <w:tcPr>
            <w:tcBorders>
              <w:top w:val="none" w:color="000000" w:sz="4" w:space="0"/>
              <w:left w:val="single" w:color="auto" w:sz="4" w:space="0"/>
              <w:bottom w:val="single" w:color="auto" w:sz="4" w:space="0"/>
              <w:right w:val="single" w:color="auto" w:sz="8" w:space="0"/>
            </w:tcBorders>
            <w:tcW w:w="1448" w:type="pct"/>
            <w:vAlign w:val="center"/>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项目开始时间</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项目联系人</w:t>
            </w:r>
            <w:r/>
          </w:p>
        </w:tc>
        <w:tc>
          <w:tcPr>
            <w:tcBorders>
              <w:top w:val="none" w:color="000000" w:sz="4" w:space="0"/>
              <w:left w:val="none" w:color="000000" w:sz="4" w:space="0"/>
              <w:bottom w:val="single" w:color="auto" w:sz="4" w:space="0"/>
              <w:right w:val="single" w:color="auto" w:sz="8" w:space="0"/>
            </w:tcBorders>
            <w:tcW w:w="1448" w:type="pct"/>
            <w:vAlign w:val="center"/>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3046"/>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ind w:left="0" w:right="0"/>
              <w:jc w:val="center"/>
              <w:keepLines w:val="0"/>
              <w:keepNext w:val="0"/>
              <w:spacing w:before="0" w:beforeAutospacing="0" w:after="0" w:afterAutospacing="0" w:line="360" w:lineRule="auto"/>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验收情况和验收意见</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（可另附）</w:t>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验收小组（签字）：</w:t>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供应商确认意见（签章）：</w:t>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　　</w:t>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采购人确认意见（签章）：</w:t>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p>
            <w:pPr>
              <w:ind w:left="0" w:right="0"/>
              <w:jc w:val="left"/>
              <w:keepLines w:val="0"/>
              <w:keepNext w:val="0"/>
              <w:spacing w:before="0" w:beforeAutospacing="0" w:after="0" w:afterAutospacing="0" w:line="36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br/>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年    月    日</w:t>
            </w:r>
            <w:r/>
          </w:p>
        </w:tc>
      </w:tr>
    </w:tbl>
    <w:p>
      <w:pPr>
        <w:pStyle w:val="966"/>
        <w:ind w:right="840" w:firstLine="2640"/>
        <w:jc w:val="both"/>
        <w:spacing w:beforeAutospacing="0" w:afterAutospacing="0" w:line="360" w:lineRule="auto"/>
        <w:rPr>
          <w:rFonts w:hint="eastAsia" w:ascii="黑体" w:hAnsi="黑体" w:eastAsia="黑体" w:cs="黑体"/>
          <w:color w:val="auto"/>
          <w:sz w:val="44"/>
          <w:szCs w:val="44"/>
          <w:highlight w:val="none"/>
        </w:rPr>
      </w:pPr>
      <w:r>
        <w:rPr>
          <w:highlight w:val="none"/>
        </w:rPr>
      </w:r>
      <w:r>
        <w:rPr>
          <w:highlight w:val="none"/>
        </w:rPr>
      </w:r>
      <w:r/>
    </w:p>
    <w:p>
      <w:pPr>
        <w:pStyle w:val="966"/>
        <w:ind w:right="840" w:firstLine="2640"/>
        <w:jc w:val="both"/>
        <w:spacing w:beforeAutospacing="0" w:afterAutospacing="0" w:line="360" w:lineRule="auto"/>
        <w:rPr>
          <w:highlight w:val="none"/>
        </w:rPr>
      </w:pPr>
      <w:r>
        <w:rPr>
          <w:rFonts w:hint="eastAsia" w:ascii="黑体" w:hAnsi="黑体" w:eastAsia="黑体" w:cs="黑体"/>
          <w:color w:val="auto"/>
          <w:sz w:val="44"/>
          <w:szCs w:val="44"/>
          <w:highlight w:val="none"/>
        </w:rPr>
        <w:t xml:space="preserve">第</w:t>
      </w:r>
      <w:bookmarkEnd w:id="171"/>
      <w:r>
        <w:rPr>
          <w:rFonts w:hint="eastAsia" w:ascii="黑体" w:hAnsi="黑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966"/>
        <w:jc w:val="both"/>
        <w:spacing w:beforeAutospacing="0" w:afterAutospacing="0" w:line="360" w:lineRule="auto"/>
        <w:rPr>
          <w:rFonts w:hint="eastAsia" w:ascii="宋体" w:hAnsi="宋体" w:eastAsia="宋体" w:cs="宋体"/>
          <w:color w:val="auto"/>
          <w:highlight w:val="none"/>
        </w:rPr>
      </w:pPr>
      <w:r/>
      <w:bookmarkStart w:id="178" w:name="_Toc49090575"/>
      <w:r/>
      <w:bookmarkStart w:id="179" w:name="_Toc26554093"/>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类项目。</w:t>
      </w:r>
      <w:bookmarkEnd w:id="178"/>
      <w:r/>
      <w:bookmarkEnd w:id="179"/>
      <w:r/>
      <w:r/>
    </w:p>
    <w:p>
      <w:pPr>
        <w:pStyle w:val="966"/>
        <w:numPr>
          <w:ilvl w:val="0"/>
          <w:numId w:val="1"/>
        </w:numPr>
        <w:ind w:left="0"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eastAsia="宋体" w:cs="宋体"/>
          <w:b/>
          <w:bCs w:val="0"/>
          <w:color w:val="auto"/>
          <w:highlight w:val="none"/>
          <w:lang w:eastAsia="zh-CN"/>
        </w:rPr>
        <w:t xml:space="preserve">采购内容</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核心产品：两人位上床下桌公寓组合床</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数量：824套（每间宿舍2套）</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规格：二人位公寓床产品外形尺寸规格： L4500×W900×H2150</w:t>
      </w:r>
      <w:r>
        <w:rPr>
          <w:rFonts w:hint="eastAsia" w:asciiTheme="minorEastAsia" w:hAnsiTheme="minorEastAsia" w:cstheme="minorEastAsia"/>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bidi="ar"/>
        </w:rPr>
        <w:t xml:space="preserve">mm，颜色甲定，示意图附后，仅供参考。每套为两人位（含公寓床、学习桌、书架、公寓椅、爬梯、组合柜）。</w:t>
      </w:r>
      <w:r/>
    </w:p>
    <w:p>
      <w:pPr>
        <w:ind w:firstLine="482"/>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二、技术参数</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l、</w:t>
      </w:r>
      <w:r>
        <w:rPr>
          <w:rFonts w:hint="eastAsia" w:asciiTheme="minorEastAsia" w:hAnsiTheme="minorEastAsia" w:cstheme="minorEastAsia"/>
          <w:b/>
          <w:bCs/>
          <w:color w:val="auto"/>
          <w:sz w:val="24"/>
          <w:szCs w:val="24"/>
          <w:highlight w:val="none"/>
          <w:lang w:val="en-US" w:eastAsia="zh-CN"/>
        </w:rPr>
        <w:t xml:space="preserve">床</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（1）立柱</w:t>
      </w:r>
      <w:r>
        <w:rPr>
          <w:rFonts w:hint="eastAsia" w:asciiTheme="minorEastAsia" w:hAnsiTheme="minorEastAsia" w:cstheme="minorEastAsia"/>
          <w:color w:val="auto"/>
          <w:sz w:val="24"/>
          <w:szCs w:val="24"/>
          <w:highlight w:val="none"/>
          <w:lang w:val="en-US" w:eastAsia="zh-CN"/>
        </w:rPr>
        <w:t xml:space="preserve">直角面</w:t>
      </w:r>
      <w:r>
        <w:rPr>
          <w:rFonts w:hint="eastAsia" w:asciiTheme="minorEastAsia" w:hAnsiTheme="minorEastAsia" w:eastAsiaTheme="minorEastAsia" w:cstheme="minorEastAsia"/>
          <w:color w:val="auto"/>
          <w:sz w:val="24"/>
          <w:szCs w:val="24"/>
          <w:highlight w:val="none"/>
        </w:rPr>
        <w:t xml:space="preserve">≥75×75×1.2mm厚高频焊接镀锌闭口型材管，</w:t>
      </w:r>
      <w:r>
        <w:rPr>
          <w:rFonts w:hint="eastAsia" w:asciiTheme="minorEastAsia" w:hAnsiTheme="minorEastAsia" w:cstheme="minorEastAsia"/>
          <w:color w:val="auto"/>
          <w:sz w:val="24"/>
          <w:szCs w:val="24"/>
          <w:highlight w:val="none"/>
          <w:lang w:val="en-US" w:eastAsia="zh-CN"/>
        </w:rPr>
        <w:t xml:space="preserve">带加强筋的多面形或扇形，</w:t>
      </w:r>
      <w:r>
        <w:rPr>
          <w:rFonts w:hint="eastAsia" w:asciiTheme="minorEastAsia" w:hAnsiTheme="minorEastAsia" w:eastAsiaTheme="minorEastAsia" w:cstheme="minorEastAsia"/>
          <w:color w:val="auto"/>
          <w:sz w:val="24"/>
          <w:szCs w:val="24"/>
          <w:highlight w:val="none"/>
        </w:rPr>
        <w:t xml:space="preserve">管材采用优质带钢，经成型线轧制而成，表面经优质环保氧聚酯塑粉静电喷塑处理。(管材大圆角设计，R角半径为≥5mm，保证安全的同时，持握手感更加舒适)立柱上下均采用优质PP塑料的静音内塞，立柱下部内塞可自动调节平衡；</w:t>
      </w:r>
      <w:r/>
    </w:p>
    <w:p>
      <w:pPr>
        <w:ind w:firstLine="24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▲（2）床边（镀锌）：采用≥35*</w:t>
      </w:r>
      <w:r>
        <w:rPr>
          <w:rFonts w:hint="eastAsia" w:asciiTheme="minorEastAsia" w:hAnsiTheme="minorEastAsia" w:cstheme="minorEastAsia"/>
          <w:color w:val="auto"/>
          <w:sz w:val="24"/>
          <w:szCs w:val="24"/>
          <w:highlight w:val="none"/>
          <w:lang w:val="en-US" w:eastAsia="zh-CN"/>
        </w:rPr>
        <w:t xml:space="preserve">99</w:t>
      </w:r>
      <w:r>
        <w:rPr>
          <w:rFonts w:hint="eastAsia" w:asciiTheme="minorEastAsia" w:hAnsiTheme="minorEastAsia" w:eastAsiaTheme="minorEastAsia" w:cstheme="minorEastAsia"/>
          <w:color w:val="auto"/>
          <w:sz w:val="24"/>
          <w:szCs w:val="24"/>
          <w:highlight w:val="none"/>
        </w:rPr>
        <w:t xml:space="preserve">*1.2mm厚高频焊接镀锌闭口型材管，优质冷轧钢板经一次成型线轧制而成，并且进行镀锌处理。管材大圆角设计，R角半径为大至5mm，保证安全的同时，持握手感更加舒适）表面经优质环保氧聚酯塑粉静电喷塑处理。管材截面由八个面组成，形状近似于棱形，转角处采用倒角设计，防止学生意外碰撞受伤；</w:t>
      </w:r>
      <w:r>
        <w:rPr>
          <w:rFonts w:hint="eastAsia" w:asciiTheme="minorEastAsia" w:hAnsiTheme="minorEastAsia" w:cstheme="minorEastAsia"/>
          <w:color w:val="auto"/>
          <w:sz w:val="24"/>
          <w:szCs w:val="24"/>
          <w:highlight w:val="none"/>
          <w:lang w:val="en-US" w:eastAsia="zh-CN"/>
        </w:rPr>
        <w:t xml:space="preserve">与立柱连接须隐藏式。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（3）床档（镀锌）：≥24*58*1.</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mm采用优质冷轧钢板经一次成型线轧制而成，并且进行镀锌处理。其立面为中空异形（单面喷涂，管材内外进行镀锌处理，保证了内部同样防止生锈）管材大圆角设计，R角半径为大至5mm，保证安全的同时，持握手感更加舒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（4）护栏：≥25*25*1.0mm 采用优质冷轧钢板经一次成型线轧制而成，内部拼色封板设计。两床安装时候需要方管连接，增加牢固性。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（5）爬梯：宽度500mm（4层）支撑架采用≥25*25*1.0mm方管，踏步板采用塑料防滑踏步板，装有夜光条，配置储物功能。左右两侧配置楼梯扶手。</w:t>
      </w:r>
      <w:r/>
    </w:p>
    <w:p>
      <w:pPr>
        <w:ind w:firstLine="2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▲（6）床板：采用HDPE高密度聚乙烯全新料，一次中空吹塑成型，不能两块或者多块拼接。厚度≥18mm，尺寸与床框内部服帖，四周单侧间隙≤10mm，床板设有不少于40个透气孔，以保证床板透气性能良好。</w:t>
      </w:r>
      <w:r/>
    </w:p>
    <w:p>
      <w:pPr>
        <w:numPr>
          <w:ilvl w:val="0"/>
          <w:numId w:val="2"/>
        </w:numPr>
        <w:ind w:firstLine="24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蚊帐杆：PVC塑料封包</w:t>
      </w:r>
      <w:r>
        <w:rPr>
          <w:rFonts w:hint="eastAsia" w:asciiTheme="minorEastAsia" w:hAnsiTheme="minorEastAsia" w:cstheme="minorEastAsia"/>
          <w:color w:val="auto"/>
          <w:sz w:val="24"/>
          <w:szCs w:val="24"/>
          <w:highlight w:val="none"/>
          <w:lang w:eastAsia="zh-CN"/>
        </w:rPr>
        <w:t xml:space="preserve">，圆杆厚度≥1.0mm，</w:t>
      </w:r>
      <w:r>
        <w:rPr>
          <w:rFonts w:hint="eastAsia" w:asciiTheme="minorEastAsia" w:hAnsiTheme="minorEastAsia" w:eastAsiaTheme="minorEastAsia" w:cstheme="minorEastAsia"/>
          <w:color w:val="auto"/>
          <w:sz w:val="24"/>
          <w:szCs w:val="24"/>
          <w:highlight w:val="none"/>
        </w:rPr>
        <w:t xml:space="preserve">满足公寓床配置蚊帐杆功能，蚊帐杆安装方式如图示。                                    </w:t>
      </w:r>
      <w:r>
        <w:rPr>
          <w:rFonts w:hint="eastAsia" w:asciiTheme="minorEastAsia" w:hAnsiTheme="minorEastAsia" w:eastAsiaTheme="minorEastAsia" w:cstheme="minorEastAsia"/>
          <w:color w:val="auto"/>
          <w:sz w:val="24"/>
          <w:szCs w:val="24"/>
          <w:highlight w:val="none"/>
          <w:lang w:val="en-US" w:eastAsia="zh-CN"/>
        </w:rPr>
        <w:t xml:space="preserve">                                                 </w:t>
      </w:r>
      <w:r/>
    </w:p>
    <w:p>
      <w:pPr>
        <w:numPr>
          <w:ilvl w:val="0"/>
          <w:numId w:val="2"/>
        </w:numPr>
        <w:ind w:firstLine="24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顶端防护：各管材暴露端头采用PVC塑料封包并用胶水固定，防止端口割伤人员。焊接点：铁床部件焊接全部采用二氧化碳保护焊接，铁板表面经除油，去锈，磷化静电喷粉高温固化而成。</w:t>
      </w:r>
      <w:r/>
    </w:p>
    <w:p>
      <w:p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2、组合柜</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cstheme="minorEastAsia"/>
          <w:b/>
          <w:bCs/>
          <w:color w:val="auto"/>
          <w:sz w:val="24"/>
          <w:szCs w:val="24"/>
          <w:highlight w:val="none"/>
          <w:lang w:val="en-US" w:eastAsia="zh-CN"/>
        </w:rPr>
        <w:t xml:space="preserve">含桌</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）整体尺寸：≥L190</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cstheme="minorEastAsia"/>
          <w:color w:val="auto"/>
          <w:sz w:val="24"/>
          <w:szCs w:val="24"/>
          <w:highlight w:val="none"/>
          <w:lang w:eastAsia="zh-CN"/>
        </w:rPr>
        <w:t xml:space="preserve">*W600*H1680（±5）mm</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eastAsia="zh-CN"/>
        </w:rPr>
        <w:t xml:space="preserve">）桌面：1</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eastAsia="zh-CN"/>
        </w:rPr>
        <w:t xml:space="preserve">00*600mm，采用≥25mm厚E0级优质阻燃环保免漆</w:t>
      </w:r>
      <w:r>
        <w:rPr>
          <w:rFonts w:hint="eastAsia" w:asciiTheme="minorEastAsia" w:hAnsiTheme="minorEastAsia" w:cstheme="minorEastAsia"/>
          <w:color w:val="auto"/>
          <w:sz w:val="24"/>
          <w:szCs w:val="24"/>
          <w:highlight w:val="none"/>
          <w:lang w:val="en-US" w:eastAsia="zh-CN"/>
        </w:rPr>
        <w:t xml:space="preserve">实木多层</w:t>
      </w:r>
      <w:r>
        <w:rPr>
          <w:rFonts w:hint="eastAsia" w:asciiTheme="minorEastAsia" w:hAnsiTheme="minorEastAsia" w:cstheme="minorEastAsia"/>
          <w:color w:val="auto"/>
          <w:sz w:val="24"/>
          <w:szCs w:val="24"/>
          <w:highlight w:val="none"/>
          <w:lang w:eastAsia="zh-CN"/>
        </w:rPr>
        <w:t xml:space="preserve">板，≥1.5mm厚封边条。</w:t>
      </w:r>
      <w:r/>
    </w:p>
    <w:p>
      <w:pPr>
        <w:ind w:firstLine="24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(3)桌</w:t>
      </w:r>
      <w:r>
        <w:rPr>
          <w:rFonts w:hint="eastAsia" w:asciiTheme="minorEastAsia" w:hAnsiTheme="minorEastAsia" w:cstheme="minorEastAsia"/>
          <w:color w:val="auto"/>
          <w:sz w:val="24"/>
          <w:szCs w:val="24"/>
          <w:highlight w:val="none"/>
          <w:lang w:eastAsia="zh-CN"/>
        </w:rPr>
        <w:t xml:space="preserve">柜体：</w:t>
      </w:r>
      <w:r>
        <w:rPr>
          <w:rFonts w:hint="eastAsia" w:asciiTheme="minorEastAsia" w:hAnsiTheme="minorEastAsia" w:cstheme="minorEastAsia"/>
          <w:color w:val="auto"/>
          <w:sz w:val="24"/>
          <w:szCs w:val="24"/>
          <w:highlight w:val="none"/>
          <w:lang w:val="en-US" w:eastAsia="zh-CN"/>
        </w:rPr>
        <w:t xml:space="preserve">板材</w:t>
      </w:r>
      <w:r>
        <w:rPr>
          <w:rFonts w:hint="eastAsia" w:asciiTheme="minorEastAsia" w:hAnsiTheme="minorEastAsia" w:cstheme="minorEastAsia"/>
          <w:color w:val="auto"/>
          <w:sz w:val="24"/>
          <w:szCs w:val="24"/>
          <w:highlight w:val="none"/>
          <w:lang w:eastAsia="zh-CN"/>
        </w:rPr>
        <w:t xml:space="preserve">采用≥16mm厚优质E0级优质环保免漆实木</w:t>
      </w:r>
      <w:r>
        <w:rPr>
          <w:rFonts w:hint="eastAsia" w:asciiTheme="minorEastAsia" w:hAnsiTheme="minorEastAsia" w:cstheme="minorEastAsia"/>
          <w:color w:val="auto"/>
          <w:sz w:val="24"/>
          <w:szCs w:val="24"/>
          <w:highlight w:val="none"/>
          <w:lang w:val="en-US" w:eastAsia="zh-CN"/>
        </w:rPr>
        <w:t xml:space="preserve">多层</w:t>
      </w:r>
      <w:r>
        <w:rPr>
          <w:rFonts w:hint="eastAsia" w:asciiTheme="minorEastAsia" w:hAnsiTheme="minorEastAsia" w:cstheme="minorEastAsia"/>
          <w:color w:val="auto"/>
          <w:sz w:val="24"/>
          <w:szCs w:val="24"/>
          <w:highlight w:val="none"/>
          <w:lang w:eastAsia="zh-CN"/>
        </w:rPr>
        <w:t xml:space="preserve">板，≥1.5mm厚封边条。</w:t>
      </w:r>
      <w:r/>
    </w:p>
    <w:p>
      <w:pPr>
        <w:ind w:firstLine="24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cstheme="minorEastAsia"/>
          <w:color w:val="auto"/>
          <w:sz w:val="24"/>
          <w:szCs w:val="24"/>
          <w:highlight w:val="none"/>
          <w:lang w:eastAsia="zh-CN"/>
        </w:rPr>
        <w:t xml:space="preserve">衣柜：≥600*600*1680mm，</w:t>
      </w:r>
      <w:r>
        <w:rPr>
          <w:rFonts w:hint="eastAsia" w:asciiTheme="minorEastAsia" w:hAnsiTheme="minorEastAsia" w:cstheme="minorEastAsia"/>
          <w:color w:val="auto"/>
          <w:sz w:val="24"/>
          <w:szCs w:val="24"/>
          <w:highlight w:val="none"/>
          <w:lang w:val="en-US" w:eastAsia="zh-CN"/>
        </w:rPr>
        <w:t xml:space="preserve">所有板材</w:t>
      </w:r>
      <w:r>
        <w:rPr>
          <w:rFonts w:hint="eastAsia" w:asciiTheme="minorEastAsia" w:hAnsiTheme="minorEastAsia" w:cstheme="minorEastAsia"/>
          <w:color w:val="auto"/>
          <w:sz w:val="24"/>
          <w:szCs w:val="24"/>
          <w:highlight w:val="none"/>
          <w:lang w:eastAsia="zh-CN"/>
        </w:rPr>
        <w:t xml:space="preserve">采用≥18mm厚E0级优质环保免漆实木</w:t>
      </w:r>
      <w:r>
        <w:rPr>
          <w:rFonts w:hint="eastAsia" w:asciiTheme="minorEastAsia" w:hAnsiTheme="minorEastAsia" w:cstheme="minorEastAsia"/>
          <w:color w:val="auto"/>
          <w:sz w:val="24"/>
          <w:szCs w:val="24"/>
          <w:highlight w:val="none"/>
          <w:lang w:val="en-US" w:eastAsia="zh-CN"/>
        </w:rPr>
        <w:t xml:space="preserve">多层</w:t>
      </w:r>
      <w:r>
        <w:rPr>
          <w:rFonts w:hint="eastAsia" w:asciiTheme="minorEastAsia" w:hAnsiTheme="minorEastAsia" w:cstheme="minorEastAsia"/>
          <w:color w:val="auto"/>
          <w:sz w:val="24"/>
          <w:szCs w:val="24"/>
          <w:highlight w:val="none"/>
          <w:lang w:eastAsia="zh-CN"/>
        </w:rPr>
        <w:t xml:space="preserve">板，柜体板材贴合1.5mm厚封边条。                  </w:t>
      </w:r>
      <w:r/>
    </w:p>
    <w:p>
      <w:p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lang w:val="en-US" w:eastAsia="zh-CN"/>
        </w:rPr>
        <w:t xml:space="preserve">注：</w:t>
      </w:r>
      <w:r>
        <w:rPr>
          <w:rFonts w:hint="eastAsia" w:asciiTheme="minorEastAsia" w:hAnsiTheme="minorEastAsia" w:cstheme="minorEastAsia"/>
          <w:b/>
          <w:bCs/>
          <w:i/>
          <w:iCs/>
          <w:color w:val="auto"/>
          <w:sz w:val="24"/>
          <w:szCs w:val="24"/>
          <w:highlight w:val="none"/>
          <w:u w:val="single"/>
          <w:lang w:val="en-US" w:eastAsia="zh-CN"/>
        </w:rPr>
        <w:t xml:space="preserve">提供所投产品</w:t>
      </w:r>
      <w:r>
        <w:rPr>
          <w:rFonts w:hint="eastAsia" w:asciiTheme="minorEastAsia" w:hAnsiTheme="minorEastAsia" w:eastAsiaTheme="minorEastAsia" w:cstheme="minorEastAsia"/>
          <w:b/>
          <w:bCs/>
          <w:i/>
          <w:iCs/>
          <w:color w:val="auto"/>
          <w:sz w:val="24"/>
          <w:szCs w:val="24"/>
          <w:highlight w:val="none"/>
          <w:u w:val="single"/>
          <w:lang w:val="en-US" w:eastAsia="zh-CN"/>
        </w:rPr>
        <w:t xml:space="preserve">组合柜</w:t>
      </w:r>
      <w:r>
        <w:rPr>
          <w:rFonts w:hint="eastAsia" w:asciiTheme="minorEastAsia" w:hAnsiTheme="minorEastAsia" w:cstheme="minorEastAsia"/>
          <w:b/>
          <w:bCs/>
          <w:i/>
          <w:iCs/>
          <w:color w:val="auto"/>
          <w:sz w:val="24"/>
          <w:szCs w:val="24"/>
          <w:highlight w:val="none"/>
          <w:u w:val="single"/>
          <w:lang w:val="en-US" w:eastAsia="zh-CN"/>
        </w:rPr>
        <w:t xml:space="preserve">所有</w:t>
      </w:r>
      <w:r>
        <w:rPr>
          <w:rFonts w:hint="eastAsia" w:asciiTheme="minorEastAsia" w:hAnsiTheme="minorEastAsia" w:eastAsiaTheme="minorEastAsia" w:cstheme="minorEastAsia"/>
          <w:b/>
          <w:bCs/>
          <w:i/>
          <w:iCs/>
          <w:color w:val="auto"/>
          <w:sz w:val="24"/>
          <w:szCs w:val="24"/>
          <w:highlight w:val="none"/>
          <w:u w:val="single"/>
          <w:lang w:val="en-US" w:eastAsia="zh-CN"/>
        </w:rPr>
        <w:t xml:space="preserve">板材符合GB/T 39600-2021 中 E0 级（</w:t>
      </w:r>
      <w:r>
        <w:rPr>
          <w:rFonts w:hint="eastAsia" w:asciiTheme="minorEastAsia" w:hAnsiTheme="minorEastAsia" w:cstheme="minorEastAsia"/>
          <w:b/>
          <w:bCs/>
          <w:i/>
          <w:iCs/>
          <w:color w:val="auto"/>
          <w:sz w:val="24"/>
          <w:szCs w:val="24"/>
          <w:highlight w:val="none"/>
          <w:u w:val="single"/>
          <w:lang w:val="en-US" w:eastAsia="zh-CN"/>
        </w:rPr>
        <w:t xml:space="preserve">甲醛释放含量</w:t>
      </w:r>
      <w:r>
        <w:rPr>
          <w:rFonts w:hint="eastAsia" w:asciiTheme="minorEastAsia" w:hAnsiTheme="minorEastAsia" w:eastAsiaTheme="minorEastAsia" w:cstheme="minorEastAsia"/>
          <w:b/>
          <w:bCs/>
          <w:i/>
          <w:iCs/>
          <w:color w:val="auto"/>
          <w:sz w:val="24"/>
          <w:szCs w:val="24"/>
          <w:highlight w:val="none"/>
          <w:u w:val="single"/>
          <w:lang w:val="en-US" w:eastAsia="zh-CN"/>
        </w:rPr>
        <w:t xml:space="preserve">≤0.050mg/m³）</w:t>
      </w:r>
      <w:r>
        <w:rPr>
          <w:rFonts w:hint="eastAsia" w:asciiTheme="minorEastAsia" w:hAnsiTheme="minorEastAsia" w:cstheme="minorEastAsia"/>
          <w:b/>
          <w:bCs/>
          <w:i/>
          <w:iCs/>
          <w:color w:val="auto"/>
          <w:sz w:val="24"/>
          <w:szCs w:val="24"/>
          <w:highlight w:val="none"/>
          <w:u w:val="single"/>
          <w:lang w:val="en-US" w:eastAsia="zh-CN"/>
        </w:rPr>
        <w:t xml:space="preserve">CMA</w:t>
      </w:r>
      <w:r>
        <w:rPr>
          <w:rFonts w:hint="eastAsia" w:asciiTheme="minorEastAsia" w:hAnsiTheme="minorEastAsia" w:eastAsiaTheme="minorEastAsia" w:cstheme="minorEastAsia"/>
          <w:b/>
          <w:bCs/>
          <w:i/>
          <w:iCs/>
          <w:color w:val="auto"/>
          <w:sz w:val="24"/>
          <w:szCs w:val="24"/>
          <w:highlight w:val="none"/>
          <w:u w:val="single"/>
          <w:lang w:val="en-US" w:eastAsia="zh-CN"/>
        </w:rPr>
        <w:t xml:space="preserve">检测报告，否则视为无效投标。</w:t>
      </w:r>
      <w:r/>
    </w:p>
    <w:p>
      <w:pPr>
        <w:ind w:firstLine="482"/>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椅子：</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cstheme="minorEastAsia"/>
          <w:color w:val="auto"/>
          <w:sz w:val="24"/>
          <w:szCs w:val="24"/>
          <w:highlight w:val="none"/>
          <w:lang w:eastAsia="zh-CN"/>
        </w:rPr>
        <w:t xml:space="preserve">                                                                                                                               </w:t>
      </w:r>
      <w:r>
        <w:rPr>
          <w:rFonts w:hint="eastAsia" w:asciiTheme="minorEastAsia" w:hAnsiTheme="minorEastAsia" w:cstheme="minorEastAsia"/>
          <w:color w:val="auto"/>
          <w:sz w:val="24"/>
          <w:szCs w:val="24"/>
          <w:highlight w:val="none"/>
          <w:lang w:eastAsia="zh-CN"/>
        </w:rPr>
        <w:t xml:space="preserve">                                                                                                                                                                                                                                                                </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）座椅高780（±5）mm；</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cstheme="minorEastAsia"/>
          <w:color w:val="auto"/>
          <w:sz w:val="24"/>
          <w:szCs w:val="24"/>
          <w:highlight w:val="none"/>
          <w:lang w:eastAsia="zh-CN"/>
        </w:rPr>
        <w:t xml:space="preserve">）椅座、椅背、脚垫：采用PP（聚丙烯）材料经模具一次性浇注成型。椅座板规格为宽388（±5）mm，深400（±5）mm、椅背规格为宽425mm，高245mm（±5）mm；</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cstheme="minorEastAsia"/>
          <w:color w:val="auto"/>
          <w:sz w:val="24"/>
          <w:szCs w:val="24"/>
          <w:highlight w:val="none"/>
          <w:lang w:eastAsia="zh-CN"/>
        </w:rPr>
        <w:t xml:space="preserve">）座板支撑采用≥15*30mm（±2mm），厚度≥1.2mm封闭式钢管。</w:t>
      </w:r>
      <w:r/>
    </w:p>
    <w:p>
      <w:pPr>
        <w:ind w:firstLine="480"/>
        <w:jc w:val="left"/>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cstheme="minorEastAsia"/>
          <w:color w:val="auto"/>
          <w:sz w:val="24"/>
          <w:szCs w:val="24"/>
          <w:highlight w:val="none"/>
          <w:lang w:eastAsia="zh-CN"/>
        </w:rPr>
        <w:t xml:space="preserve">）站脚：采用≥20*40mm（±2mm），厚度≥1.5mm的封闭式钢管，并经高温固化处理，确保长时间使用不生锈、不掉漆。</w:t>
      </w:r>
      <w:r/>
    </w:p>
    <w:p>
      <w:pPr>
        <w:jc w:val="center"/>
        <w:keepLines w:val="0"/>
        <w:keepNext w:val="0"/>
        <w:pageBreakBefore w:val="0"/>
        <w:spacing w:line="360" w:lineRule="auto"/>
        <w:widowControl w:val="off"/>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854065" cy="3578225"/>
                <wp:effectExtent l="0" t="0" r="13335" b="3175"/>
                <wp:docPr id="5" name="图片 1" descr="4766464a77c100b5f8d2a3040d571b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766464a77c100b5f8d2a3040d571b12"/>
                        <pic:cNvPicPr>
                          <a:picLocks noChangeAspect="1"/>
                        </pic:cNvPicPr>
                        <pic:nvPr/>
                      </pic:nvPicPr>
                      <pic:blipFill>
                        <a:blip r:embed="rId15"/>
                        <a:stretch/>
                      </pic:blipFill>
                      <pic:spPr bwMode="auto">
                        <a:xfrm>
                          <a:off x="0" y="0"/>
                          <a:ext cx="5854065" cy="3578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0.9pt;height:281.8pt;mso-wrap-distance-left:0.0pt;mso-wrap-distance-top:0.0pt;mso-wrap-distance-right:0.0pt;mso-wrap-distance-bottom:0.0pt;" stroked="false">
                <v:path textboxrect="0,0,0,0"/>
                <v:imagedata r:id="rId15" o:title=""/>
              </v:shape>
            </w:pict>
          </mc:Fallback>
        </mc:AlternateContent>
      </w:r>
      <w:r/>
    </w:p>
    <w:p>
      <w:pPr>
        <w:pStyle w:val="966"/>
        <w:ind w:right="0"/>
        <w:jc w:val="center"/>
        <w:keepLines w:val="0"/>
        <w:keepNext w:val="0"/>
        <w:pageBreakBefore w:val="0"/>
        <w:spacing w:before="120" w:beforeAutospacing="0" w:after="120" w:afterAutospacing="0" w:line="360" w:lineRule="auto"/>
        <w:widowControl/>
        <w:rPr>
          <w:rFonts w:hint="eastAsia" w:ascii="宋体" w:hAnsi="宋体" w:cs="宋体"/>
          <w:b/>
          <w:bCs w:val="0"/>
          <w:color w:val="auto"/>
          <w:highlight w:val="none"/>
          <w:lang w:val="en-US" w:eastAsia="zh-CN"/>
        </w:rPr>
      </w:pPr>
      <w:r>
        <w:rPr>
          <w:rFonts w:hint="eastAsia" w:ascii="宋体" w:hAnsi="宋体" w:cs="宋体"/>
          <w:b/>
          <w:bCs w:val="0"/>
          <w:color w:val="auto"/>
          <w:highlight w:val="none"/>
          <w:lang w:val="en-US" w:eastAsia="zh-CN"/>
        </w:rPr>
        <mc:AlternateContent>
          <mc:Choice Requires="wpg">
            <w:drawing>
              <wp:inline xmlns:wp="http://schemas.openxmlformats.org/drawingml/2006/wordprocessingDrawing" distT="0" distB="0" distL="0" distR="0">
                <wp:extent cx="5900420" cy="3606165"/>
                <wp:effectExtent l="0" t="0" r="5080" b="13335"/>
                <wp:docPr id="6" name="图片 4" descr="0a9d7126f049e5d230864bbe5ad29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a9d7126f049e5d230864bbe5ad29966"/>
                        <pic:cNvPicPr>
                          <a:picLocks noChangeAspect="1"/>
                        </pic:cNvPicPr>
                        <pic:nvPr/>
                      </pic:nvPicPr>
                      <pic:blipFill>
                        <a:blip r:embed="rId16"/>
                        <a:stretch/>
                      </pic:blipFill>
                      <pic:spPr bwMode="auto">
                        <a:xfrm>
                          <a:off x="0" y="0"/>
                          <a:ext cx="5900419" cy="3606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6pt;height:283.9pt;mso-wrap-distance-left:0.0pt;mso-wrap-distance-top:0.0pt;mso-wrap-distance-right:0.0pt;mso-wrap-distance-bottom:0.0pt;" stroked="false">
                <v:path textboxrect="0,0,0,0"/>
                <v:imagedata r:id="rId16" o:title=""/>
              </v:shape>
            </w:pict>
          </mc:Fallback>
        </mc:AlternateContent>
      </w:r>
      <w:r/>
    </w:p>
    <w:p>
      <w:pPr>
        <w:pStyle w:val="966"/>
        <w:ind w:right="0"/>
        <w:jc w:val="both"/>
        <w:keepLines w:val="0"/>
        <w:keepNext w:val="0"/>
        <w:pageBreakBefore w:val="0"/>
        <w:spacing w:before="120" w:beforeAutospacing="0" w:after="120" w:afterAutospacing="0" w:line="360" w:lineRule="auto"/>
        <w:widowControl/>
        <w:rPr>
          <w:rFonts w:hint="eastAsia" w:ascii="宋体" w:hAnsi="宋体" w:cs="宋体"/>
          <w:b/>
          <w:bCs w:val="0"/>
          <w:color w:val="auto"/>
          <w:highlight w:val="none"/>
          <w:lang w:val="en-US" w:eastAsia="zh-CN"/>
        </w:rPr>
      </w:pPr>
      <w:r>
        <w:rPr>
          <w:rFonts w:hint="eastAsia" w:ascii="宋体" w:hAnsi="宋体" w:cs="宋体"/>
          <w:b/>
          <w:bCs w:val="0"/>
          <w:color w:val="auto"/>
          <w:highlight w:val="none"/>
          <w:lang w:val="en-US" w:eastAsia="zh-CN"/>
        </w:rPr>
        <mc:AlternateContent>
          <mc:Choice Requires="wpg">
            <w:drawing>
              <wp:inline xmlns:wp="http://schemas.openxmlformats.org/drawingml/2006/wordprocessingDrawing" distT="0" distB="0" distL="0" distR="0">
                <wp:extent cx="6108700" cy="4319270"/>
                <wp:effectExtent l="0" t="0" r="6350" b="5080"/>
                <wp:docPr id="7" name="图片 2" descr="床 线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床 线框图"/>
                        <pic:cNvPicPr>
                          <a:picLocks noChangeAspect="1"/>
                        </pic:cNvPicPr>
                        <pic:nvPr/>
                      </pic:nvPicPr>
                      <pic:blipFill>
                        <a:blip r:embed="rId17"/>
                        <a:stretch/>
                      </pic:blipFill>
                      <pic:spPr bwMode="auto">
                        <a:xfrm>
                          <a:off x="0" y="0"/>
                          <a:ext cx="6108700" cy="4319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0pt;height:340.1pt;mso-wrap-distance-left:0.0pt;mso-wrap-distance-top:0.0pt;mso-wrap-distance-right:0.0pt;mso-wrap-distance-bottom:0.0pt;" stroked="false">
                <v:path textboxrect="0,0,0,0"/>
                <v:imagedata r:id="rId17" o:title=""/>
              </v:shape>
            </w:pict>
          </mc:Fallback>
        </mc:AlternateContent>
      </w:r>
      <w:r/>
    </w:p>
    <w:p>
      <w:pPr>
        <w:pStyle w:val="966"/>
        <w:ind w:left="0"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lang w:eastAsia="zh-CN"/>
        </w:rPr>
        <w:t xml:space="preserve">、项目实施要求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（一）配送、安装要求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1.生产前须与采购人充分沟通后确认产品细节，同时成立配送安装小组,指定具体负责人。</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2.家具出厂前，必须明确安装/维修要求，备齐所需工具及操作图纸。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4.家具送到采购人指定地点，应当铺垫衬垫物后，整齐有序堆放，避免因堆放不当而引起的损坏。由中标人（合同卖方）负责组合安装, 安装所需辅材由中标人提供。安装所有相关辅材必须符合强制性标准（如有）。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5.如配件或成品有质量问题，应按规定程序回厂调换合格部件后再行安装。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6.安装完毕后，安装负责人逐项进行检验。将产品的可视面揩拭干净。由于地面不平整，影响产品正常使用的，安装人员应负责将产品垫平，直至产品能正常使用，达到采购人满意。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（二）配送安装保障措施要求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1.向采购人提供准确的物流信息，对配送过程进行实时监控，出现问题，及时反馈并积极协调解决。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2.专人押运：为了避免因人为原因而产生问题，采用专业人员驾驶运输车辆并配备充足的工具和设备，确保运输过程中的安全。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 在家具运输过程中，采取多种措施，包括缓冲、固定、包覆、避免磕碰等，以确保家具能够安全到达。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 准备专业的安装工具和人员，在家具运达之后，根据安装图纸及场地环境，明确安装顺序,免费安装。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5．强调施工人员必须遵守相关安全规定，并提供必要的个人防护设备。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 对安装人员进行必要的培训，使其熟悉家具组装流程和技术要求。</w:t>
      </w:r>
      <w:r/>
    </w:p>
    <w:p>
      <w:pPr>
        <w:pStyle w:val="966"/>
        <w:ind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cs="宋体"/>
          <w:b/>
          <w:bCs w:val="0"/>
          <w:color w:val="auto"/>
          <w:highlight w:val="none"/>
          <w:lang w:val="en-US" w:eastAsia="zh-CN"/>
        </w:rPr>
        <w:t xml:space="preserve">四</w:t>
      </w:r>
      <w:r>
        <w:rPr>
          <w:rFonts w:hint="eastAsia" w:ascii="宋体" w:hAnsi="宋体" w:eastAsia="宋体" w:cs="宋体"/>
          <w:b/>
          <w:bCs w:val="0"/>
          <w:color w:val="auto"/>
          <w:highlight w:val="none"/>
          <w:lang w:eastAsia="zh-CN"/>
        </w:rPr>
        <w:t xml:space="preserve">、售后服务要求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1.质保期要求：从验收合格之日起，提供三年的免费质保。</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2.质保期内的售后服务要求：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2.1质保期内如出现严重质量问题，24小时内不能完成维修（更换），则在2日内免费向采购人提供同样规格要求的替代品。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2.2在质保期内，承诺项目交付后提供1次免费操作及维护，每年开展1次免费上门巡检保养。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2.3设有专线服务电话，提供7×24小时全天候售后响应服务，接到故障通知后2小时内响应，4小时内派员到场，一般故障8小时内彻底排除，重大故障24小时内处置完毕。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2.4为保证家具产品的正常运行，配置充足的专业工具和备品备件确保在最短时间内响应用户产品的及时之需。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2.5所有更换的零件材料，品质纯正，保证均按原厂标准生产。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2.6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pStyle w:val="966"/>
        <w:ind w:left="0"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cs="宋体"/>
          <w:b/>
          <w:bCs w:val="0"/>
          <w:color w:val="auto"/>
          <w:highlight w:val="none"/>
          <w:lang w:val="en-US" w:eastAsia="zh-CN"/>
        </w:rPr>
        <w:t xml:space="preserve">五</w:t>
      </w:r>
      <w:r>
        <w:rPr>
          <w:rFonts w:hint="eastAsia" w:ascii="宋体" w:hAnsi="宋体" w:eastAsia="宋体" w:cs="宋体"/>
          <w:b/>
          <w:bCs w:val="0"/>
          <w:color w:val="auto"/>
          <w:highlight w:val="none"/>
          <w:lang w:eastAsia="zh-CN"/>
        </w:rPr>
        <w:t xml:space="preserve">、合同履行期限和地点</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合同履行期限：合同签订后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lang w:eastAsia="zh-CN"/>
        </w:rPr>
        <w:t xml:space="preserve">日历天内完成所需设备的供货、安装、调试并经验收合格。</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2.履约要求：</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无需协商、无需催告，单方书面通知即可有权单方解除合同，没收全部履约保证金，并由</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承担逾期违约金、二次采购差价及由此造成的全部损失，同时上报政府采购主管部门记入不良行为记录。</w:t>
      </w:r>
      <w:r/>
    </w:p>
    <w:p>
      <w:pPr>
        <w:pStyle w:val="988"/>
        <w:ind w:left="0" w:firstLine="480"/>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3、交货地点：大丰区内19所乡镇中学各自指定施工现场，投标人报价需综合考量所有运输距离、装卸及相关费用，供货具体数量以采购人实际下达通知为准。</w:t>
      </w:r>
      <w:r/>
    </w:p>
    <w:tbl>
      <w:tblPr>
        <w:tblStyle w:val="957"/>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5"/>
        <w:gridCol w:w="4599"/>
        <w:gridCol w:w="2736"/>
        <w:gridCol w:w="1009"/>
      </w:tblGrid>
      <w:tr>
        <w:trPr>
          <w:jc w:val="center"/>
          <w:trHeight w:val="633"/>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shd w:val="clear" w:color="auto" w:fill="auto"/>
            <w:tcW w:w="459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学校名称</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学校类型</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color w:val="auto"/>
                <w:sz w:val="24"/>
                <w:szCs w:val="24"/>
                <w:highlight w:val="none"/>
                <w:lang w:val="en-US" w:eastAsia="zh-CN"/>
              </w:rPr>
              <w:t xml:space="preserve">数量（套）</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大丰港实验学校</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九年一贯制学校</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23</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盐城市大丰区刘庄实验学校</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九年一贯制学校</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18</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盐城市大丰区草堰初级中学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23</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盐城市大丰区草堰镇三渣初级中学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31</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盐城市大丰区白驹初级中学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51</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盐城市大丰区白驹镇洋心洼初级中学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49</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盐城市大丰区刘庄镇三圩初级中学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30</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盐城市大丰区小海初级中学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89</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盐城市大丰区西团初级中学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47</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10</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盐城市大丰区大桥初级中学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22</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11</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盐城市大丰区万盈初级中学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18</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12</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盐城市大丰区万盈镇沈灶初级中学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28</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3</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盐城市大丰区南阳初级中学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16</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4</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盐城市大丰区盐垦初级中学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90</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5</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盐城市大丰区新丰镇方强初级中学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73</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6</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盐城市大丰区三龙初级中学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78</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7</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盐城市大丰区三龙镇丰富初级中学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57</w:t>
            </w:r>
            <w:r/>
          </w:p>
        </w:tc>
      </w:tr>
      <w:tr>
        <w:trPr>
          <w:jc w:val="center"/>
          <w:trHeight w:val="57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8</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盐城市大丰区大中街道新团初级中学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44</w:t>
            </w:r>
            <w:r/>
          </w:p>
        </w:tc>
      </w:tr>
      <w:tr>
        <w:trPr>
          <w:jc w:val="center"/>
          <w:trHeight w:val="586"/>
        </w:trPr>
        <w:tc>
          <w:tcPr>
            <w:shd w:val="clear" w:color="auto" w:fill="auto"/>
            <w:tcW w:w="1035" w:type="dxa"/>
            <w:vAlign w:val="center"/>
            <w:textDirection w:val="lrTb"/>
            <w:noWrap/>
          </w:tcPr>
          <w:p>
            <w:pPr>
              <w:ind w:left="0" w:right="0"/>
              <w:jc w:val="center"/>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cstheme="minorEastAsia"/>
                <w:color w:val="auto"/>
                <w:sz w:val="24"/>
                <w:szCs w:val="24"/>
                <w:highlight w:val="none"/>
                <w:lang w:val="en-US" w:eastAsia="zh-CN"/>
              </w:rPr>
              <w:t xml:space="preserve">19</w:t>
            </w:r>
            <w:r/>
          </w:p>
        </w:tc>
        <w:tc>
          <w:tcPr>
            <w:shd w:val="clear" w:color="auto" w:fill="auto"/>
            <w:tcW w:w="4599"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盐城市大丰区城东实验初级中学</w:t>
            </w:r>
            <w:r/>
          </w:p>
        </w:tc>
        <w:tc>
          <w:tcPr>
            <w:shd w:val="clear" w:color="auto" w:fill="auto"/>
            <w:tcW w:w="2736" w:type="dxa"/>
            <w:vAlign w:val="center"/>
            <w:textDirection w:val="lrTb"/>
            <w:noWrap/>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初中</w:t>
            </w:r>
            <w:r/>
          </w:p>
        </w:tc>
        <w:tc>
          <w:tcPr>
            <w:shd w:val="clear" w:color="auto" w:fill="auto"/>
            <w:tcW w:w="100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37</w:t>
            </w:r>
            <w:r/>
          </w:p>
        </w:tc>
      </w:tr>
    </w:tbl>
    <w:p>
      <w:pPr>
        <w:pStyle w:val="966"/>
        <w:ind w:right="0" w:firstLine="482"/>
        <w:jc w:val="both"/>
        <w:keepLines w:val="0"/>
        <w:keepNext w:val="0"/>
        <w:pageBreakBefore w:val="0"/>
        <w:spacing w:before="120" w:beforeAutospacing="0" w:after="120" w:afterAutospacing="0" w:line="360" w:lineRule="auto"/>
        <w:widowControl/>
        <w:rPr>
          <w:rFonts w:hint="eastAsia" w:ascii="宋体" w:hAnsi="宋体" w:cs="宋体"/>
          <w:b/>
          <w:bCs w:val="0"/>
          <w:color w:val="auto"/>
          <w:highlight w:val="none"/>
          <w:lang w:val="en-US" w:eastAsia="zh-CN"/>
        </w:rPr>
      </w:pPr>
      <w:r>
        <w:rPr>
          <w:rFonts w:hint="eastAsia" w:ascii="宋体" w:hAnsi="宋体" w:cs="宋体"/>
          <w:b/>
          <w:bCs w:val="0"/>
          <w:color w:val="auto"/>
          <w:highlight w:val="none"/>
          <w:lang w:val="en-US" w:eastAsia="zh-CN"/>
        </w:rPr>
      </w:r>
      <w:r/>
    </w:p>
    <w:p>
      <w:pPr>
        <w:pStyle w:val="966"/>
        <w:ind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cs="宋体"/>
          <w:b/>
          <w:bCs w:val="0"/>
          <w:color w:val="auto"/>
          <w:highlight w:val="none"/>
          <w:lang w:val="en-US" w:eastAsia="zh-CN"/>
        </w:rPr>
        <w:t xml:space="preserve">六</w:t>
      </w:r>
      <w:r>
        <w:rPr>
          <w:rFonts w:hint="eastAsia" w:ascii="宋体" w:hAnsi="宋体" w:eastAsia="宋体" w:cs="宋体"/>
          <w:b/>
          <w:bCs w:val="0"/>
          <w:color w:val="auto"/>
          <w:highlight w:val="none"/>
          <w:lang w:eastAsia="zh-CN"/>
        </w:rPr>
        <w:t xml:space="preserve">、其他有关要求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所投货物及其有关服务必须符合中华人民共和国的设计和制造生产标准或行业标准。若中标后，投标人必须按合同规定完成产品的安装调试，并达到验收标准。招标文件规定的质量、规格和性能的要求。投标人应保证所提供的货物经正确安装、正常使用和保养后，在其使用寿命期内应具有满意的性能。在货物质量保证期内投标人应对由于设计、工艺或者材料的缺陷而发生的任何不足或者故障负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2.当招标文件中的技术要求以及货物备品备件的互换性标准与国家标准或者行业标准等不一致时，应以国家标准或者行业标准等为准。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3.所投产品须承诺不侵犯他人知识产权或专利，若侵犯他人知识产权或专利等所有法律问题，均由中标人负责。</w:t>
      </w:r>
      <w:r/>
    </w:p>
    <w:p>
      <w:pPr>
        <w:pStyle w:val="966"/>
        <w:ind w:left="0" w:right="0" w:firstLine="482"/>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highlight w:val="none"/>
          <w:lang w:val="en-US"/>
        </w:rPr>
      </w:pPr>
      <w:r>
        <w:rPr>
          <w:rFonts w:hint="eastAsia" w:ascii="宋体" w:hAnsi="宋体" w:cs="宋体"/>
          <w:b/>
          <w:bCs w:val="0"/>
          <w:color w:val="auto"/>
          <w:highlight w:val="none"/>
          <w:lang w:val="en-US" w:eastAsia="zh-CN"/>
        </w:rPr>
        <w:t xml:space="preserve">七</w:t>
      </w:r>
      <w:r>
        <w:rPr>
          <w:rFonts w:hint="eastAsia" w:ascii="宋体" w:hAnsi="宋体" w:eastAsia="宋体" w:cs="宋体"/>
          <w:b/>
          <w:bCs w:val="0"/>
          <w:color w:val="auto"/>
          <w:highlight w:val="none"/>
          <w:lang w:eastAsia="zh-CN"/>
        </w:rPr>
        <w:t xml:space="preserve">、特别说明</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中止合同，已经完成的内容招标人将视情况认定，投标人必须无条件服从。</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资格后审：项目开标结束后，采购人或采购代理机构应当依法对投标人的资格进行审查。资格审查材料的复印件须在投标文件中提供。</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对本项目投标人资格要求、项目需求、评分标准等的质疑由采购单位负责答复；采购单位具有项目的解释权，质疑函和答复须同时报监管机构备案管理。</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4.本项目不接受进口产品投标。 </w:t>
      </w:r>
      <w:r/>
    </w:p>
    <w:p>
      <w:pPr>
        <w:pStyle w:val="9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5.采购标的对应的中小企业划分标准所属行业一览表</w:t>
      </w:r>
      <w:r/>
    </w:p>
    <w:tbl>
      <w:tblPr>
        <w:tblStyle w:val="957"/>
        <w:tblW w:w="96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4"/>
        <w:gridCol w:w="5842"/>
        <w:gridCol w:w="2713"/>
      </w:tblGrid>
      <w:tr>
        <w:trPr>
          <w:jc w:val="center"/>
          <w:tblCellSpacing w:w="0" w:type="dxa"/>
          <w:trHeight w:val="838"/>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pStyle w:val="988"/>
              <w:ind w:left="0" w:firstLine="240"/>
              <w:jc w:val="both"/>
              <w:keepLines w:val="0"/>
              <w:keepNext w:val="0"/>
              <w:pageBreakBefore w:val="0"/>
              <w:spacing w:line="360" w:lineRule="auto"/>
              <w:widowControl/>
              <w:rPr>
                <w:rFonts w:hAnsi="宋体" w:eastAsia="宋体" w:cs="Times New Roman"/>
                <w:color w:val="auto"/>
                <w:sz w:val="24"/>
                <w:szCs w:val="24"/>
                <w:highlight w:val="none"/>
                <w:lang w:val="en-US"/>
              </w:rPr>
            </w:pPr>
            <w:r>
              <w:rPr>
                <w:rFonts w:hint="eastAsia" w:ascii="Calibri" w:hAnsi="宋体" w:eastAsia="宋体" w:cs="Times New Roman"/>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842" w:type="dxa"/>
            <w:vAlign w:val="center"/>
            <w:textDirection w:val="lrTb"/>
            <w:noWrap w:val="false"/>
          </w:tcPr>
          <w:p>
            <w:pPr>
              <w:pStyle w:val="988"/>
              <w:ind w:firstLine="480"/>
              <w:jc w:val="center"/>
              <w:keepLines w:val="0"/>
              <w:keepNext w:val="0"/>
              <w:pageBreakBefore w:val="0"/>
              <w:spacing w:line="360" w:lineRule="auto"/>
              <w:widowControl/>
              <w:rPr>
                <w:rFonts w:hAnsi="宋体" w:eastAsia="宋体" w:cs="Times New Roman"/>
                <w:color w:val="auto"/>
                <w:sz w:val="24"/>
                <w:szCs w:val="24"/>
                <w:highlight w:val="none"/>
                <w:lang w:val="en-US"/>
              </w:rPr>
            </w:pPr>
            <w:r>
              <w:rPr>
                <w:rFonts w:hint="eastAsia" w:ascii="Calibri" w:hAnsi="宋体" w:eastAsia="宋体" w:cs="Times New Roman"/>
                <w:color w:val="auto"/>
                <w:sz w:val="24"/>
                <w:szCs w:val="24"/>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pStyle w:val="988"/>
              <w:ind w:left="0" w:firstLine="480"/>
              <w:jc w:val="both"/>
              <w:keepLines w:val="0"/>
              <w:keepNext w:val="0"/>
              <w:pageBreakBefore w:val="0"/>
              <w:spacing w:line="360" w:lineRule="auto"/>
              <w:widowControl/>
              <w:rPr>
                <w:rFonts w:hAnsi="宋体" w:eastAsia="宋体" w:cs="Times New Roman"/>
                <w:color w:val="auto"/>
                <w:sz w:val="24"/>
                <w:szCs w:val="24"/>
                <w:highlight w:val="none"/>
                <w:lang w:val="en-US"/>
              </w:rPr>
            </w:pPr>
            <w:r>
              <w:rPr>
                <w:rFonts w:hint="eastAsia" w:ascii="Calibri" w:hAnsi="宋体" w:eastAsia="宋体" w:cs="Times New Roman"/>
                <w:color w:val="auto"/>
                <w:sz w:val="24"/>
                <w:szCs w:val="24"/>
                <w:highlight w:val="none"/>
              </w:rPr>
              <w:t xml:space="preserve">对应中小企业划分</w:t>
            </w:r>
            <w:r/>
          </w:p>
          <w:p>
            <w:pPr>
              <w:pStyle w:val="988"/>
              <w:ind w:left="0" w:firstLine="480"/>
              <w:jc w:val="center"/>
              <w:keepLines w:val="0"/>
              <w:keepNext w:val="0"/>
              <w:pageBreakBefore w:val="0"/>
              <w:spacing w:line="360" w:lineRule="auto"/>
              <w:widowControl/>
              <w:rPr>
                <w:rFonts w:hAnsi="宋体" w:eastAsia="宋体" w:cs="Times New Roman"/>
                <w:color w:val="auto"/>
                <w:sz w:val="24"/>
                <w:szCs w:val="24"/>
                <w:highlight w:val="none"/>
                <w:lang w:val="en-US"/>
              </w:rPr>
            </w:pPr>
            <w:r>
              <w:rPr>
                <w:rFonts w:hint="eastAsia" w:ascii="Calibri" w:hAnsi="宋体" w:eastAsia="宋体" w:cs="Times New Roman"/>
                <w:color w:val="auto"/>
                <w:sz w:val="24"/>
                <w:szCs w:val="24"/>
                <w:highlight w:val="none"/>
              </w:rPr>
              <w:t xml:space="preserve">标准所属行业</w:t>
            </w:r>
            <w:r/>
          </w:p>
        </w:tc>
      </w:tr>
      <w:tr>
        <w:trPr>
          <w:jc w:val="center"/>
          <w:tblCellSpacing w:w="0" w:type="dxa"/>
          <w:trHeight w:val="1036"/>
        </w:trPr>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pStyle w:val="988"/>
              <w:ind w:left="0" w:firstLine="480"/>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842" w:type="dxa"/>
            <w:vAlign w:val="center"/>
            <w:textDirection w:val="lrTb"/>
            <w:noWrap w:val="false"/>
          </w:tcPr>
          <w:p>
            <w:pPr>
              <w:pStyle w:val="988"/>
              <w:ind w:left="0"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大丰区2026年学生床采购安装项目</w:t>
            </w:r>
            <w:r/>
          </w:p>
        </w:tc>
        <w:tc>
          <w:tcPr>
            <w:shd w:val="clear" w:color="auto" w:fill="auto"/>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pStyle w:val="988"/>
              <w:keepLines w:val="0"/>
              <w:keepNext w:val="0"/>
              <w:pageBreakBefore w:val="0"/>
              <w:spacing w:line="360" w:lineRule="auto"/>
              <w:widowControl/>
              <w:rPr>
                <w:rFonts w:hAnsi="宋体" w:eastAsia="宋体" w:cs="Times New Roman"/>
                <w:color w:val="auto"/>
                <w:sz w:val="24"/>
                <w:szCs w:val="24"/>
                <w:highlight w:val="none"/>
                <w:lang w:val="en-US"/>
              </w:rPr>
            </w:pPr>
            <w:r>
              <w:rPr>
                <w:rFonts w:hint="eastAsia" w:hAnsi="宋体" w:cs="Times New Roman"/>
                <w:color w:val="auto"/>
                <w:sz w:val="24"/>
                <w:szCs w:val="24"/>
                <w:highlight w:val="none"/>
                <w:lang w:val="en-US" w:eastAsia="zh-CN"/>
              </w:rPr>
              <w:t xml:space="preserve">工业（</w:t>
            </w:r>
            <w:r>
              <w:rPr>
                <w:rFonts w:hint="eastAsia" w:ascii="Calibri" w:hAnsi="宋体" w:eastAsia="宋体" w:cs="Times New Roman"/>
                <w:color w:val="auto"/>
                <w:sz w:val="24"/>
                <w:szCs w:val="24"/>
                <w:highlight w:val="none"/>
              </w:rPr>
              <w:t xml:space="preserve">制造业</w:t>
            </w:r>
            <w:r>
              <w:rPr>
                <w:rFonts w:hint="eastAsia" w:hAnsi="宋体" w:cs="Times New Roman"/>
                <w:color w:val="auto"/>
                <w:sz w:val="24"/>
                <w:szCs w:val="24"/>
                <w:highlight w:val="none"/>
                <w:lang w:val="en-US" w:eastAsia="zh-CN"/>
              </w:rPr>
              <w:t xml:space="preserve">）</w:t>
            </w:r>
            <w:r/>
          </w:p>
        </w:tc>
      </w:tr>
    </w:tbl>
    <w:p>
      <w:pPr>
        <w:pStyle w:val="966"/>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ind w:right="840"/>
        <w:jc w:val="both"/>
        <w:spacing w:beforeAutospacing="0" w:afterAutospacing="0" w:line="360" w:lineRule="auto"/>
        <w:rPr>
          <w:rFonts w:hint="eastAsia" w:ascii="黑体" w:hAnsi="黑体" w:eastAsia="黑体" w:cs="黑体"/>
          <w:color w:val="auto"/>
          <w:sz w:val="44"/>
          <w:szCs w:val="44"/>
          <w:highlight w:val="none"/>
        </w:rPr>
      </w:pPr>
      <w:r/>
      <w:bookmarkStart w:id="180" w:name="_Toc120614281"/>
      <w:r/>
      <w:r/>
    </w:p>
    <w:p>
      <w:pPr>
        <w:pStyle w:val="966"/>
        <w:ind w:right="840"/>
        <w:jc w:val="center"/>
        <w:spacing w:beforeAutospacing="0" w:afterAutospacing="0" w:line="36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pStyle w:val="966"/>
        <w:ind w:right="840"/>
        <w:jc w:val="center"/>
        <w:spacing w:beforeAutospacing="0" w:afterAutospacing="0" w:line="36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第五章  评标方法与评标标准</w:t>
      </w:r>
      <w:r/>
    </w:p>
    <w:p>
      <w:pPr>
        <w:pStyle w:val="966"/>
        <w:jc w:val="both"/>
        <w:spacing w:beforeAutospacing="0" w:afterAutospacing="0" w:line="360" w:lineRule="auto"/>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66"/>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77"/>
        <w:ind w:firstLine="360"/>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966"/>
        <w:ind w:firstLine="36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966"/>
        <w:ind w:firstLine="36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966"/>
        <w:ind w:left="120" w:firstLine="360"/>
        <w:spacing w:before="120" w:beforeAutospacing="0" w:after="12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20%的价格扣除。</w:t>
      </w:r>
      <w:r/>
    </w:p>
    <w:p>
      <w:pPr>
        <w:pStyle w:val="966"/>
        <w:ind w:left="120" w:firstLine="36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966"/>
        <w:ind w:left="120" w:firstLine="36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966"/>
        <w:ind w:left="120" w:firstLine="360"/>
        <w:spacing w:before="120" w:beforeAutospacing="0" w:after="12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20%的价格扣除。</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966"/>
        <w:ind w:firstLine="4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966"/>
        <w:ind w:left="120" w:firstLine="360"/>
        <w:spacing w:before="120" w:beforeAutospacing="0" w:after="12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20%的价格扣除。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firstLine="482"/>
        <w:spacing w:line="360" w:lineRule="auto"/>
        <w:rPr>
          <w:rFonts w:hint="eastAsia" w:ascii="宋体" w:hAnsi="宋体" w:cs="Courier New"/>
          <w:b/>
          <w:bCs/>
          <w:color w:val="auto"/>
          <w:sz w:val="24"/>
          <w:highlight w:val="none"/>
        </w:rPr>
      </w:pPr>
      <w:r>
        <w:rPr>
          <w:rFonts w:hint="eastAsia" w:ascii="宋体" w:hAnsi="宋体" w:cs="Courier New"/>
          <w:b/>
          <w:bCs/>
          <w:color w:val="auto"/>
          <w:sz w:val="24"/>
          <w:highlight w:val="none"/>
        </w:rPr>
        <w:t xml:space="preserve">二、评标标准</w:t>
      </w:r>
      <w:r/>
    </w:p>
    <w:p>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t xml:space="preserve">本项目评分总分值为</w:t>
      </w:r>
      <w:r>
        <w:rPr>
          <w:rFonts w:ascii="宋体" w:hAnsi="宋体" w:cs="Courier New"/>
          <w:bCs/>
          <w:color w:val="auto"/>
          <w:sz w:val="24"/>
          <w:highlight w:val="none"/>
        </w:rPr>
        <w:t xml:space="preserve">100</w:t>
      </w:r>
      <w:r>
        <w:rPr>
          <w:rFonts w:hint="eastAsia" w:ascii="宋体" w:hAnsi="宋体" w:cs="Courier New"/>
          <w:bCs/>
          <w:color w:val="auto"/>
          <w:sz w:val="24"/>
          <w:highlight w:val="none"/>
        </w:rPr>
        <w:t xml:space="preserve">分。</w:t>
      </w:r>
      <w:r/>
    </w:p>
    <w:tbl>
      <w:tblPr>
        <w:tblStyle w:val="957"/>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1"/>
        <w:gridCol w:w="955"/>
        <w:gridCol w:w="885"/>
        <w:gridCol w:w="7061"/>
      </w:tblGrid>
      <w:tr>
        <w:trPr>
          <w:jc w:val="center"/>
          <w:trHeight w:val="559"/>
        </w:trPr>
        <w:tc>
          <w:tcPr>
            <w:shd w:val="clear" w:color="auto" w:fill="auto"/>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eastAsiaTheme="minorEastAsia" w:cstheme="minorEastAsia"/>
                <w:b/>
                <w:bCs/>
                <w:color w:val="auto"/>
                <w:sz w:val="24"/>
                <w:szCs w:val="24"/>
                <w:highlight w:val="none"/>
                <w:lang w:val="zh-CN"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eastAsiaTheme="minorEastAsia" w:cstheme="minorEastAsia"/>
                <w:b/>
                <w:bCs/>
                <w:color w:val="auto"/>
                <w:sz w:val="24"/>
                <w:szCs w:val="24"/>
                <w:highlight w:val="none"/>
                <w:lang w:val="zh-CN" w:eastAsia="zh-CN" w:bidi="ar"/>
              </w:rPr>
              <w:t xml:space="preserve">评分因素及权重</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eastAsiaTheme="minorEastAsia" w:cstheme="minorEastAsia"/>
                <w:b/>
                <w:bCs/>
                <w:color w:val="auto"/>
                <w:sz w:val="24"/>
                <w:szCs w:val="24"/>
                <w:highlight w:val="none"/>
                <w:lang w:val="zh-CN"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eastAsiaTheme="minorEastAsia" w:cstheme="minorEastAsia"/>
                <w:b/>
                <w:bCs/>
                <w:color w:val="auto"/>
                <w:sz w:val="24"/>
                <w:szCs w:val="24"/>
                <w:highlight w:val="none"/>
                <w:lang w:val="zh-CN" w:eastAsia="zh-CN" w:bidi="ar"/>
              </w:rPr>
              <w:t xml:space="preserve">评分标准</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zh-CN"/>
              </w:rPr>
              <w:suppressLineNumbers w:val="0"/>
            </w:pPr>
            <w:r>
              <w:rPr>
                <w:rFonts w:hint="eastAsia" w:asciiTheme="minorEastAsia" w:hAnsiTheme="minorEastAsia" w:eastAsiaTheme="minorEastAsia" w:cstheme="minorEastAsia"/>
                <w:color w:val="auto"/>
                <w:sz w:val="24"/>
                <w:szCs w:val="24"/>
                <w:highlight w:val="none"/>
                <w:lang w:val="zh-CN" w:eastAsia="zh-CN" w:bidi="ar"/>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cstheme="minorEastAsia"/>
                <w:color w:val="auto"/>
                <w:sz w:val="24"/>
                <w:szCs w:val="24"/>
                <w:highlight w:val="none"/>
                <w:lang w:val="en-US" w:eastAsia="zh-CN" w:bidi="ar"/>
              </w:rPr>
              <w:t xml:space="preserve">0</w:t>
            </w:r>
            <w:r>
              <w:rPr>
                <w:rFonts w:hint="eastAsia" w:asciiTheme="minorEastAsia" w:hAnsiTheme="minorEastAsia" w:eastAsiaTheme="minorEastAsia" w:cstheme="minorEastAsia"/>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zh-CN"/>
              </w:rPr>
              <w:suppressLineNumbers w:val="0"/>
            </w:pPr>
            <w:r>
              <w:rPr>
                <w:rFonts w:hint="eastAsia" w:asciiTheme="minorEastAsia" w:hAnsiTheme="minorEastAsia" w:eastAsiaTheme="minorEastAsia" w:cstheme="minorEastAsia"/>
                <w:color w:val="auto"/>
                <w:sz w:val="24"/>
                <w:szCs w:val="24"/>
                <w:highlight w:val="none"/>
                <w:lang w:val="zh-CN" w:eastAsia="zh-CN" w:bidi="ar"/>
              </w:rPr>
              <w:t xml:space="preserve">价格分采用低价优先法计算，即满足招标文件要求且投标报价最低的为评标基准价，其价格分为满分。其他供应商的价格分统一按下列公式计算：报价得分=（评标基准价/投标报价）×</w:t>
            </w:r>
            <w:r>
              <w:rPr>
                <w:rFonts w:hint="eastAsia" w:asciiTheme="minorEastAsia" w:hAnsiTheme="minorEastAsia" w:eastAsiaTheme="minorEastAsia" w:cstheme="minorEastAsia"/>
                <w:color w:val="auto"/>
                <w:sz w:val="24"/>
                <w:szCs w:val="24"/>
                <w:highlight w:val="none"/>
                <w:lang w:val="en-US" w:eastAsia="zh-CN" w:bidi="ar"/>
              </w:rPr>
              <w:t xml:space="preserve">5</w:t>
            </w:r>
            <w:r>
              <w:rPr>
                <w:rFonts w:hint="eastAsia" w:asciiTheme="minorEastAsia" w:hAnsiTheme="minorEastAsia" w:cstheme="minorEastAsia"/>
                <w:color w:val="auto"/>
                <w:sz w:val="24"/>
                <w:szCs w:val="24"/>
                <w:highlight w:val="none"/>
                <w:lang w:val="en-US" w:eastAsia="zh-CN" w:bidi="ar"/>
              </w:rPr>
              <w:t xml:space="preserve">0</w:t>
            </w:r>
            <w:r>
              <w:rPr>
                <w:rFonts w:hint="eastAsia" w:asciiTheme="minorEastAsia" w:hAnsiTheme="minorEastAsia" w:eastAsiaTheme="minorEastAsia" w:cstheme="minorEastAsia"/>
                <w:color w:val="auto"/>
                <w:sz w:val="24"/>
                <w:szCs w:val="24"/>
                <w:highlight w:val="none"/>
                <w:lang w:val="zh-CN" w:eastAsia="zh-CN" w:bidi="ar"/>
              </w:rPr>
              <w:t xml:space="preserve">，价格分保留两位小数。</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val="0"/>
                <w:bCs w:val="0"/>
                <w:color w:val="auto"/>
                <w:sz w:val="24"/>
                <w:szCs w:val="24"/>
                <w:highlight w:val="none"/>
                <w:lang w:val="zh-CN"/>
              </w:rPr>
              <w:suppressLineNumbers w:val="0"/>
            </w:pPr>
            <w:r>
              <w:rPr>
                <w:rFonts w:hint="eastAsia" w:asciiTheme="minorEastAsia" w:hAnsiTheme="minorEastAsia" w:eastAsiaTheme="minorEastAsia" w:cstheme="minorEastAsia"/>
                <w:b w:val="0"/>
                <w:bCs w:val="0"/>
                <w:color w:val="auto"/>
                <w:sz w:val="24"/>
                <w:szCs w:val="24"/>
                <w:highlight w:val="none"/>
                <w:lang w:val="zh-CN" w:eastAsia="zh-CN" w:bidi="ar"/>
              </w:rPr>
              <w:t xml:space="preserve">评审委员会启动异常低价投标 （响应）审查的情形和具体要求：</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val="0"/>
                <w:bCs w:val="0"/>
                <w:color w:val="auto"/>
                <w:sz w:val="24"/>
                <w:szCs w:val="24"/>
                <w:highlight w:val="none"/>
                <w:lang w:val="zh-CN"/>
              </w:rPr>
              <w:suppressLineNumbers w:val="0"/>
            </w:pPr>
            <w:r>
              <w:rPr>
                <w:rFonts w:hint="eastAsia" w:asciiTheme="minorEastAsia" w:hAnsiTheme="minorEastAsia" w:eastAsiaTheme="minorEastAsia" w:cstheme="minorEastAsia"/>
                <w:b w:val="0"/>
                <w:bCs w:val="0"/>
                <w:color w:val="auto"/>
                <w:sz w:val="24"/>
                <w:szCs w:val="24"/>
                <w:highlight w:val="none"/>
                <w:lang w:val="zh-CN" w:eastAsia="zh-CN" w:bidi="ar"/>
              </w:rPr>
              <w:t xml:space="preserve">（</w:t>
            </w:r>
            <w:r>
              <w:rPr>
                <w:rFonts w:hint="eastAsia" w:asciiTheme="minorEastAsia" w:hAnsiTheme="minorEastAsia" w:eastAsiaTheme="minorEastAsia" w:cstheme="minorEastAsia"/>
                <w:b w:val="0"/>
                <w:bCs w:val="0"/>
                <w:color w:val="auto"/>
                <w:sz w:val="24"/>
                <w:szCs w:val="24"/>
                <w:highlight w:val="none"/>
                <w:lang w:val="en-US" w:eastAsia="zh-CN" w:bidi="ar"/>
              </w:rPr>
              <w:t xml:space="preserve">一</w:t>
            </w:r>
            <w:r>
              <w:rPr>
                <w:rFonts w:hint="eastAsia" w:asciiTheme="minorEastAsia" w:hAnsiTheme="minorEastAsia" w:eastAsiaTheme="minorEastAsia" w:cstheme="minorEastAsia"/>
                <w:b w:val="0"/>
                <w:bCs w:val="0"/>
                <w:color w:val="auto"/>
                <w:sz w:val="24"/>
                <w:szCs w:val="24"/>
                <w:highlight w:val="none"/>
                <w:lang w:val="zh-CN" w:eastAsia="zh-CN" w:bidi="ar"/>
              </w:rPr>
              <w:t xml:space="preserve">）评审过程中出现下列情形之一的，评审委员会应当启动异常低价投标（响应）审查程序：</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cstheme="minorEastAsia"/>
                <w:b/>
                <w:bCs/>
                <w:color w:val="auto"/>
                <w:sz w:val="24"/>
                <w:szCs w:val="24"/>
                <w:highlight w:val="none"/>
                <w:lang w:val="en-US" w:eastAsia="zh-CN" w:bidi="ar"/>
              </w:rPr>
              <w:t xml:space="preserve">①</w:t>
            </w:r>
            <w:r>
              <w:rPr>
                <w:rFonts w:hint="eastAsia" w:asciiTheme="minorEastAsia" w:hAnsiTheme="minorEastAsia" w:eastAsiaTheme="minorEastAsia" w:cstheme="minorEastAsia"/>
                <w:b/>
                <w:bCs/>
                <w:color w:val="auto"/>
                <w:sz w:val="24"/>
                <w:szCs w:val="24"/>
                <w:highlight w:val="none"/>
                <w:lang w:val="zh-CN" w:eastAsia="zh-CN" w:bidi="ar"/>
              </w:rPr>
              <w:t xml:space="preserve">投标（响应）报价低于</w:t>
            </w:r>
            <w:r>
              <w:rPr>
                <w:rFonts w:hint="eastAsia" w:asciiTheme="minorEastAsia" w:hAnsiTheme="minorEastAsia" w:cstheme="minorEastAsia"/>
                <w:b/>
                <w:bCs/>
                <w:color w:val="auto"/>
                <w:sz w:val="24"/>
                <w:szCs w:val="24"/>
                <w:highlight w:val="none"/>
                <w:lang w:val="en-US" w:eastAsia="zh-CN" w:bidi="ar"/>
              </w:rPr>
              <w:t xml:space="preserve">全部通过符合性审查供应商投标（响应）</w:t>
            </w:r>
            <w:r>
              <w:rPr>
                <w:rFonts w:hint="eastAsia" w:asciiTheme="minorEastAsia" w:hAnsiTheme="minorEastAsia" w:eastAsiaTheme="minorEastAsia" w:cstheme="minorEastAsia"/>
                <w:b/>
                <w:bCs/>
                <w:color w:val="auto"/>
                <w:sz w:val="24"/>
                <w:szCs w:val="24"/>
                <w:highlight w:val="none"/>
                <w:lang w:val="zh-CN" w:eastAsia="zh-CN" w:bidi="ar"/>
              </w:rPr>
              <w:t xml:space="preserve"> </w:t>
            </w:r>
            <w:r>
              <w:rPr>
                <w:rFonts w:hint="eastAsia" w:asciiTheme="minorEastAsia" w:hAnsiTheme="minorEastAsia" w:cstheme="minorEastAsia"/>
                <w:b/>
                <w:bCs/>
                <w:color w:val="auto"/>
                <w:sz w:val="24"/>
                <w:szCs w:val="24"/>
                <w:highlight w:val="none"/>
                <w:lang w:val="en-US" w:eastAsia="zh-CN" w:bidi="ar"/>
              </w:rPr>
              <w:t xml:space="preserve">报价平均值</w:t>
            </w:r>
            <w:r>
              <w:rPr>
                <w:rFonts w:hint="eastAsia" w:asciiTheme="minorEastAsia" w:hAnsiTheme="minorEastAsia" w:eastAsiaTheme="minorEastAsia" w:cstheme="minorEastAsia"/>
                <w:b/>
                <w:bCs/>
                <w:color w:val="auto"/>
                <w:sz w:val="24"/>
                <w:szCs w:val="24"/>
                <w:highlight w:val="none"/>
                <w:lang w:val="zh-CN" w:eastAsia="zh-CN" w:bidi="ar"/>
              </w:rPr>
              <w:t xml:space="preserve">50%的，即投标（响应）报价&lt;全部通过符合性审查供应商投标（响应）</w:t>
            </w:r>
            <w:r>
              <w:rPr>
                <w:rFonts w:hint="eastAsia" w:asciiTheme="minorEastAsia" w:hAnsiTheme="minorEastAsia" w:cstheme="minorEastAsia"/>
                <w:b/>
                <w:bCs/>
                <w:color w:val="auto"/>
                <w:sz w:val="24"/>
                <w:szCs w:val="24"/>
                <w:highlight w:val="none"/>
                <w:lang w:val="en-US" w:eastAsia="zh-CN" w:bidi="ar"/>
              </w:rPr>
              <w:t xml:space="preserve">报价平均值</w:t>
            </w:r>
            <w:r>
              <w:rPr>
                <w:rFonts w:hint="eastAsia" w:asciiTheme="minorEastAsia" w:hAnsiTheme="minorEastAsia" w:eastAsiaTheme="minorEastAsia" w:cstheme="minorEastAsia"/>
                <w:b/>
                <w:bCs/>
                <w:color w:val="auto"/>
                <w:sz w:val="24"/>
                <w:szCs w:val="24"/>
                <w:highlight w:val="none"/>
                <w:lang w:val="zh-CN" w:eastAsia="zh-CN" w:bidi="ar"/>
              </w:rPr>
              <w:t xml:space="preserve">×50% ；</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cstheme="minorEastAsia"/>
                <w:b/>
                <w:bCs/>
                <w:color w:val="auto"/>
                <w:sz w:val="24"/>
                <w:szCs w:val="24"/>
                <w:highlight w:val="none"/>
                <w:lang w:val="en-US" w:eastAsia="zh-CN" w:bidi="ar"/>
              </w:rPr>
              <w:suppressLineNumbers w:val="0"/>
            </w:pPr>
            <w:r>
              <w:rPr>
                <w:rFonts w:hint="eastAsia" w:asciiTheme="minorEastAsia" w:hAnsiTheme="minorEastAsia" w:cstheme="minorEastAsia"/>
                <w:b/>
                <w:bCs/>
                <w:color w:val="auto"/>
                <w:sz w:val="24"/>
                <w:szCs w:val="24"/>
                <w:highlight w:val="none"/>
                <w:lang w:val="en-US" w:eastAsia="zh-CN" w:bidi="ar"/>
              </w:rPr>
              <w:t xml:space="preserve">②投标（响应）报价低于通过符合性审查的次低报价供应商投标（响应）报价 50%的，即投标（响应）报价&lt;通过符合性审查的次低报价供应商投标（响应）报价×50%；</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cstheme="minorEastAsia"/>
                <w:b/>
                <w:bCs/>
                <w:color w:val="auto"/>
                <w:sz w:val="24"/>
                <w:szCs w:val="24"/>
                <w:highlight w:val="none"/>
                <w:lang w:val="zh-CN" w:eastAsia="zh-CN" w:bidi="ar"/>
              </w:rPr>
              <w:suppressLineNumbers w:val="0"/>
            </w:pPr>
            <w:r>
              <w:rPr>
                <w:rFonts w:hint="eastAsia" w:asciiTheme="minorEastAsia" w:hAnsiTheme="minorEastAsia" w:cstheme="minorEastAsia"/>
                <w:b/>
                <w:bCs/>
                <w:color w:val="auto"/>
                <w:sz w:val="24"/>
                <w:szCs w:val="24"/>
                <w:highlight w:val="none"/>
                <w:lang w:val="en-US" w:eastAsia="zh-CN" w:bidi="ar"/>
              </w:rPr>
              <w:t xml:space="preserve">③</w:t>
            </w:r>
            <w:r>
              <w:rPr>
                <w:rFonts w:hint="eastAsia" w:asciiTheme="minorEastAsia" w:hAnsiTheme="minorEastAsia" w:cstheme="minorEastAsia"/>
                <w:b/>
                <w:bCs/>
                <w:color w:val="auto"/>
                <w:sz w:val="24"/>
                <w:szCs w:val="24"/>
                <w:highlight w:val="none"/>
                <w:lang w:val="zh-CN" w:eastAsia="zh-CN" w:bidi="ar"/>
              </w:rPr>
              <w:t xml:space="preserve">投标（响应）报价低于采购项目最高限价 45% 的，即投 标（响应）报价&lt;采购项目最高限价×45% ；</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bCs/>
                <w:color w:val="auto"/>
                <w:sz w:val="24"/>
                <w:szCs w:val="24"/>
                <w:highlight w:val="none"/>
                <w:lang w:val="zh-CN"/>
              </w:rPr>
              <w:suppressLineNumbers w:val="0"/>
            </w:pPr>
            <w:r>
              <w:rPr>
                <w:rFonts w:hint="eastAsia" w:asciiTheme="minorEastAsia" w:hAnsiTheme="minorEastAsia" w:cstheme="minorEastAsia"/>
                <w:b/>
                <w:bCs/>
                <w:color w:val="auto"/>
                <w:sz w:val="24"/>
                <w:szCs w:val="24"/>
                <w:highlight w:val="none"/>
                <w:lang w:val="en-US" w:eastAsia="zh-CN" w:bidi="ar"/>
              </w:rPr>
              <w:t xml:space="preserve">④</w:t>
            </w:r>
            <w:r>
              <w:rPr>
                <w:rFonts w:hint="eastAsia" w:asciiTheme="minorEastAsia" w:hAnsiTheme="minorEastAsia" w:eastAsiaTheme="minorEastAsia" w:cstheme="minorEastAsia"/>
                <w:b/>
                <w:bCs/>
                <w:color w:val="auto"/>
                <w:sz w:val="24"/>
                <w:szCs w:val="24"/>
                <w:highlight w:val="none"/>
                <w:lang w:val="zh-CN" w:eastAsia="zh-CN" w:bidi="ar"/>
              </w:rPr>
              <w:t xml:space="preserve">评审委员会认定的供应商报价过低、有可能影响产品质量或者不能诚信履约的其他情形。</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zh-CN"/>
              </w:rPr>
              <w:suppressLineNumbers w:val="0"/>
            </w:pPr>
            <w:r>
              <w:rPr>
                <w:rFonts w:hint="eastAsia" w:asciiTheme="minorEastAsia" w:hAnsiTheme="minorEastAsia" w:eastAsiaTheme="minorEastAsia" w:cstheme="minorEastAsia"/>
                <w:b/>
                <w:bCs/>
                <w:color w:val="auto"/>
                <w:sz w:val="24"/>
                <w:szCs w:val="24"/>
                <w:highlight w:val="none"/>
                <w:lang w:val="zh-CN" w:eastAsia="zh-CN" w:bidi="ar"/>
              </w:rPr>
              <w:t xml:space="preserve"> </w:t>
            </w:r>
            <w:r>
              <w:rPr>
                <w:rFonts w:hint="eastAsia" w:asciiTheme="minorEastAsia" w:hAnsiTheme="minorEastAsia" w:eastAsiaTheme="minorEastAsia" w:cstheme="minorEastAsia"/>
                <w:b w:val="0"/>
                <w:bCs w:val="0"/>
                <w:color w:val="auto"/>
                <w:sz w:val="24"/>
                <w:szCs w:val="24"/>
                <w:highlight w:val="none"/>
                <w:lang w:val="zh-CN" w:eastAsia="zh-CN" w:bidi="ar"/>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356"/>
        </w:trPr>
        <w:tc>
          <w:tcPr>
            <w:shd w:val="clear" w:color="auto" w:fill="auto"/>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技术</w:t>
            </w:r>
            <w:r/>
          </w:p>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20</w:t>
            </w:r>
            <w:r>
              <w:rPr>
                <w:rFonts w:hint="eastAsia" w:asciiTheme="minorEastAsia" w:hAnsiTheme="minorEastAsia" w:eastAsiaTheme="minorEastAsia" w:cstheme="minorEastAsia"/>
                <w:color w:val="auto"/>
                <w:sz w:val="24"/>
                <w:szCs w:val="24"/>
                <w:highlight w:val="none"/>
              </w:rPr>
              <w:t xml:space="preserve"> 分</w:t>
            </w:r>
            <w:r>
              <w:rPr>
                <w:rFonts w:hint="eastAsia" w:asciiTheme="minorEastAsia" w:hAnsiTheme="minorEastAsia" w:eastAsiaTheme="minorEastAsia" w:cstheme="minorEastAsia"/>
                <w:color w:val="auto"/>
                <w:sz w:val="24"/>
                <w:szCs w:val="24"/>
                <w:highlight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技术参数要求的符合性，即对提供货物的技术参数、配置、性能是否符合或优于采购文件要求进行评价。完全符合技术参数要求的得20分；需求清单中带“▲”参数为重要参数，每有一项符合技术参数要求的，得2分；其他参数为一般参数，每有一项符合技术参数要求的，得1分；累计不满足5项及以上的，得0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注：以技术要求响应及偏离表和相关证明材料为准。证明材料包含但不限于技术白皮书</w:t>
            </w:r>
            <w:r>
              <w:rPr>
                <w:rFonts w:hint="eastAsia"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第三方检测证明</w:t>
            </w:r>
            <w:r>
              <w:rPr>
                <w:rFonts w:hint="eastAsia"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厂家发布的彩页</w:t>
            </w:r>
            <w:r>
              <w:rPr>
                <w:rFonts w:hint="eastAsia" w:asciiTheme="minorEastAsia" w:hAnsiTheme="minorEastAsia" w:cstheme="minorEastAsia"/>
                <w:color w:val="auto"/>
                <w:sz w:val="24"/>
                <w:szCs w:val="24"/>
                <w:highlight w:val="none"/>
                <w:lang w:val="en-US" w:eastAsia="zh-CN" w:bidi="ar"/>
              </w:rPr>
              <w:t xml:space="preserve">或承诺函</w:t>
            </w:r>
            <w:r>
              <w:rPr>
                <w:rFonts w:hint="eastAsia" w:asciiTheme="minorEastAsia" w:hAnsiTheme="minorEastAsia" w:eastAsiaTheme="minorEastAsia" w:cstheme="minorEastAsia"/>
                <w:color w:val="auto"/>
                <w:sz w:val="24"/>
                <w:szCs w:val="24"/>
                <w:highlight w:val="none"/>
                <w:lang w:val="en-US" w:eastAsia="zh-CN" w:bidi="ar"/>
              </w:rPr>
              <w:t xml:space="preserve">等。</w:t>
            </w:r>
            <w:r/>
          </w:p>
        </w:tc>
      </w:tr>
      <w:tr>
        <w:trPr>
          <w:jc w:val="center"/>
          <w:trHeight w:val="90"/>
        </w:trPr>
        <w:tc>
          <w:tcPr>
            <w:shd w:val="clear" w:color="auto" w:fill="auto"/>
            <w:tcBorders>
              <w:top w:val="single" w:color="auto" w:sz="4" w:space="0"/>
              <w:left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w:t>
            </w:r>
            <w:r/>
          </w:p>
        </w:tc>
        <w:tc>
          <w:tcPr>
            <w:shd w:val="clear" w:color="auto" w:fill="auto"/>
            <w:tcBorders>
              <w:top w:val="single" w:color="auto" w:sz="4" w:space="0"/>
              <w:left w:val="single" w:color="auto" w:sz="4" w:space="0"/>
              <w:right w:val="single" w:color="auto" w:sz="4" w:space="0"/>
            </w:tcBorders>
            <w:tcW w:w="95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环保</w:t>
            </w:r>
            <w:r/>
          </w:p>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认证</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cstheme="minorEastAsia"/>
                <w:color w:val="auto"/>
                <w:sz w:val="24"/>
                <w:szCs w:val="24"/>
                <w:highlight w:val="none"/>
                <w:lang w:val="en-US" w:eastAsia="zh-CN" w:bidi="ar"/>
              </w:rPr>
              <w:t xml:space="preserve">5</w:t>
            </w:r>
            <w:r>
              <w:rPr>
                <w:rFonts w:hint="eastAsia" w:asciiTheme="minorEastAsia" w:hAnsiTheme="minorEastAsia" w:eastAsiaTheme="minorEastAsia" w:cstheme="minorEastAsia"/>
                <w:color w:val="auto"/>
                <w:sz w:val="24"/>
                <w:szCs w:val="24"/>
                <w:highlight w:val="none"/>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所投组合柜柜体</w:t>
            </w:r>
            <w:r>
              <w:rPr>
                <w:rFonts w:hint="eastAsia" w:asciiTheme="minorEastAsia" w:hAnsiTheme="minorEastAsia" w:cstheme="minorEastAsia"/>
                <w:b/>
                <w:bCs/>
                <w:color w:val="auto"/>
                <w:sz w:val="24"/>
                <w:szCs w:val="24"/>
                <w:highlight w:val="none"/>
                <w:lang w:val="en-US" w:eastAsia="zh-CN"/>
              </w:rPr>
              <w:t xml:space="preserve">所有</w:t>
            </w:r>
            <w:r>
              <w:rPr>
                <w:rFonts w:hint="eastAsia" w:asciiTheme="minorEastAsia" w:hAnsiTheme="minorEastAsia" w:eastAsiaTheme="minorEastAsia" w:cstheme="minorEastAsia"/>
                <w:b/>
                <w:bCs/>
                <w:color w:val="auto"/>
                <w:sz w:val="24"/>
                <w:szCs w:val="24"/>
                <w:highlight w:val="none"/>
              </w:rPr>
              <w:t xml:space="preserve">板材甲醛释放量</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符合 GB/T 39600-2021 中 </w:t>
            </w:r>
            <w:r>
              <w:rPr>
                <w:rStyle w:val="971"/>
                <w:rFonts w:hint="eastAsia" w:asciiTheme="minorEastAsia" w:hAnsiTheme="minorEastAsia" w:eastAsiaTheme="minorEastAsia" w:cstheme="minorEastAsia"/>
                <w:b/>
                <w:bCs/>
                <w:color w:val="auto"/>
                <w:sz w:val="24"/>
                <w:szCs w:val="24"/>
                <w:highlight w:val="none"/>
              </w:rPr>
              <w:t xml:space="preserve">ENF 级（甲醛释放含量≤0.025mg/m³）</w:t>
            </w:r>
            <w:r>
              <w:rPr>
                <w:rFonts w:hint="eastAsia" w:asciiTheme="minorEastAsia" w:hAnsiTheme="minorEastAsia" w:eastAsiaTheme="minorEastAsia" w:cstheme="minorEastAsia"/>
                <w:b w:val="0"/>
                <w:bCs w:val="0"/>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得 </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注：提供</w:t>
            </w:r>
            <w:r>
              <w:rPr>
                <w:rFonts w:hint="eastAsia" w:asciiTheme="minorEastAsia" w:hAnsiTheme="minorEastAsia" w:eastAsiaTheme="minorEastAsia" w:cstheme="minorEastAsia"/>
                <w:color w:val="auto"/>
                <w:sz w:val="24"/>
                <w:szCs w:val="24"/>
                <w:highlight w:val="none"/>
              </w:rPr>
              <w:t xml:space="preserve">有效CMA检测报告</w:t>
            </w:r>
            <w:r>
              <w:rPr>
                <w:rFonts w:hint="eastAsia" w:asciiTheme="minorEastAsia" w:hAnsiTheme="minorEastAsia" w:eastAsiaTheme="minorEastAsia" w:cstheme="minorEastAsia"/>
                <w:color w:val="auto"/>
                <w:sz w:val="24"/>
                <w:szCs w:val="24"/>
                <w:highlight w:val="none"/>
                <w:lang w:val="en-US" w:eastAsia="zh-CN" w:bidi="ar"/>
              </w:rPr>
              <w:t xml:space="preserve">且提供中国国家认证认可监督管理委员会官方网站(www.cnca.gov.cn) 查询截图并加盖投标人公章方可计分；</w:t>
            </w:r>
            <w:r>
              <w:rPr>
                <w:rFonts w:hint="eastAsia" w:asciiTheme="minorEastAsia" w:hAnsiTheme="minorEastAsia" w:eastAsiaTheme="minorEastAsia" w:cstheme="minorEastAsia"/>
                <w:color w:val="auto"/>
                <w:sz w:val="24"/>
                <w:szCs w:val="24"/>
                <w:highlight w:val="none"/>
              </w:rPr>
              <w:t xml:space="preserve">检测结果不满足上述要求的，得</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bidi="ar"/>
              </w:rPr>
              <w:t xml:space="preserve">。</w:t>
            </w:r>
            <w:r/>
          </w:p>
        </w:tc>
      </w:tr>
      <w:tr>
        <w:trPr>
          <w:jc w:val="center"/>
          <w:trHeight w:val="90"/>
        </w:trPr>
        <w:tc>
          <w:tcPr>
            <w:shd w:val="clear" w:color="auto" w:fill="auto"/>
            <w:tcBorders>
              <w:left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供货与安装实施方案</w:t>
            </w:r>
            <w:r/>
          </w:p>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5分：</w:t>
            </w:r>
            <w:r>
              <w:rPr>
                <w:rFonts w:hint="eastAsia" w:asciiTheme="minorEastAsia" w:hAnsiTheme="minorEastAsia" w:eastAsiaTheme="minorEastAsia" w:cstheme="minorEastAsia"/>
                <w:color w:val="auto"/>
                <w:sz w:val="24"/>
                <w:szCs w:val="24"/>
                <w:highlight w:val="none"/>
                <w:lang w:val="en-US" w:eastAsia="zh-CN" w:bidi="ar"/>
              </w:rPr>
              <w:t xml:space="preserve">方案完整覆盖项目全实施流程，①明确分批次供货计划、精准供货周期、货物仓储防护、长途/短途运输防护措施（防磕碰、防潮、防变形、防磨损）；②制定标准化现场安装流程、专项安全施工规范、现场人员安全防护、成品全程保护、场地清洁方案；③配置专属项目负责人、专业安装施工团队，明确各环节进度管控节点、工期保障措施、恶劣天气/场地受限等突发情况应急处置方案；④针对宿舍楼现场施工、公共区域保护、施工垃圾及时清理做出书面专项承诺，完全满足项目实施及现场管理要求，得5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4分：</w:t>
            </w:r>
            <w:r>
              <w:rPr>
                <w:rFonts w:hint="eastAsia" w:asciiTheme="minorEastAsia" w:hAnsiTheme="minorEastAsia" w:eastAsiaTheme="minorEastAsia" w:cstheme="minorEastAsia"/>
                <w:color w:val="auto"/>
                <w:sz w:val="24"/>
                <w:szCs w:val="24"/>
                <w:highlight w:val="none"/>
                <w:lang w:val="en-US" w:eastAsia="zh-CN" w:bidi="ar"/>
              </w:rPr>
              <w:t xml:space="preserve">方案包含供货计划、运输防护、安装施工、安全管控、成品保护核心内容，明确项目负责及施工人员配置，工期保障措施完善，基本全覆盖项目实施需求，得4分。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3分：</w:t>
            </w:r>
            <w:r>
              <w:rPr>
                <w:rFonts w:hint="eastAsia" w:asciiTheme="minorEastAsia" w:hAnsiTheme="minorEastAsia" w:eastAsiaTheme="minorEastAsia" w:cstheme="minorEastAsia"/>
                <w:color w:val="auto"/>
                <w:sz w:val="24"/>
                <w:szCs w:val="24"/>
                <w:highlight w:val="none"/>
                <w:lang w:val="en-US" w:eastAsia="zh-CN" w:bidi="ar"/>
              </w:rPr>
              <w:t xml:space="preserve">方案包含供货、安装、安全施工基础内容，具备基本工期保障措施，未细化应急处置及现场保护内容，得3分。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2分</w:t>
            </w:r>
            <w:r>
              <w:rPr>
                <w:rFonts w:hint="eastAsia" w:asciiTheme="minorEastAsia" w:hAnsiTheme="minorEastAsia" w:eastAsiaTheme="minorEastAsia" w:cstheme="minorEastAsia"/>
                <w:b/>
                <w:bCs/>
                <w:i/>
                <w:iCs/>
                <w:color w:val="auto"/>
                <w:sz w:val="24"/>
                <w:szCs w:val="24"/>
                <w:highlight w:val="none"/>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仅简单列明供货、安装基本流程，无运输防护、安全施工、成品保护相关措施，得2分。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1分</w:t>
            </w:r>
            <w:r>
              <w:rPr>
                <w:rFonts w:hint="eastAsia" w:asciiTheme="minorEastAsia" w:hAnsiTheme="minorEastAsia" w:eastAsiaTheme="minorEastAsia" w:cstheme="minorEastAsia"/>
                <w:color w:val="auto"/>
                <w:sz w:val="24"/>
                <w:szCs w:val="24"/>
                <w:highlight w:val="none"/>
                <w:lang w:val="en-US" w:eastAsia="zh-CN" w:bidi="ar"/>
              </w:rPr>
              <w:t xml:space="preserve">：仅简单说明供货及安装安排，无任何实施保障措施，得1分。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0分</w:t>
            </w:r>
            <w:r>
              <w:rPr>
                <w:rFonts w:hint="eastAsia" w:asciiTheme="minorEastAsia" w:hAnsiTheme="minorEastAsia" w:eastAsiaTheme="minorEastAsia" w:cstheme="minorEastAsia"/>
                <w:color w:val="auto"/>
                <w:sz w:val="24"/>
                <w:szCs w:val="24"/>
                <w:highlight w:val="none"/>
                <w:lang w:val="en-US" w:eastAsia="zh-CN" w:bidi="ar"/>
              </w:rPr>
              <w:t xml:space="preserve">：未提供任何供货与安装实施方案，得0分。</w:t>
            </w:r>
            <w:r/>
          </w:p>
        </w:tc>
      </w:tr>
      <w:tr>
        <w:trPr>
          <w:jc w:val="center"/>
          <w:trHeight w:val="353"/>
        </w:trPr>
        <w:tc>
          <w:tcPr>
            <w:shd w:val="clear" w:color="auto" w:fill="auto"/>
            <w:tcBorders>
              <w:left w:val="single" w:color="auto" w:sz="4" w:space="0"/>
              <w:right w:val="single" w:color="auto" w:sz="4" w:space="0"/>
            </w:tcBorders>
            <w:tcW w:w="751"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生产工艺及产品质量保障方案</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5分</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方案</w:t>
            </w:r>
            <w:r>
              <w:rPr>
                <w:rFonts w:hint="default" w:ascii="宋体" w:hAnsi="宋体" w:eastAsia="宋体" w:cs="宋体"/>
                <w:sz w:val="24"/>
                <w:szCs w:val="24"/>
                <w:lang w:val="en-US" w:eastAsia="zh-CN" w:bidi="ar"/>
              </w:rPr>
              <w:t xml:space="preserve">完全贴合采购需求技术参数，</w:t>
            </w:r>
            <w:r>
              <w:rPr>
                <w:rFonts w:hint="eastAsia" w:asciiTheme="minorEastAsia" w:hAnsiTheme="minorEastAsia" w:eastAsiaTheme="minorEastAsia" w:cstheme="minorEastAsia"/>
                <w:color w:val="auto"/>
                <w:sz w:val="24"/>
                <w:szCs w:val="24"/>
                <w:highlight w:val="none"/>
                <w:lang w:val="en-US" w:eastAsia="zh-CN" w:bidi="ar"/>
              </w:rPr>
              <w:t xml:space="preserve">①</w:t>
            </w:r>
            <w:r>
              <w:rPr>
                <w:rFonts w:hint="default" w:ascii="宋体" w:hAnsi="宋体" w:eastAsia="宋体" w:cs="宋体"/>
                <w:sz w:val="24"/>
                <w:szCs w:val="24"/>
                <w:lang w:val="en-US" w:eastAsia="zh-CN" w:bidi="ar"/>
              </w:rPr>
              <w:t xml:space="preserve">明确床体（立柱、床边、床板等）、组合柜、椅子各组件的加工流程（管材预处理、焊接、喷塑、板材加工、组装等），</w:t>
            </w:r>
            <w:r>
              <w:rPr>
                <w:rFonts w:hint="eastAsia" w:asciiTheme="minorEastAsia" w:hAnsiTheme="minorEastAsia" w:eastAsiaTheme="minorEastAsia" w:cstheme="minorEastAsia"/>
                <w:color w:val="auto"/>
                <w:sz w:val="24"/>
                <w:szCs w:val="24"/>
                <w:highlight w:val="none"/>
                <w:lang w:val="en-US" w:eastAsia="zh-CN" w:bidi="ar"/>
              </w:rPr>
              <w:t xml:space="preserve">②</w:t>
            </w:r>
            <w:r>
              <w:rPr>
                <w:rFonts w:hint="default" w:ascii="宋体" w:hAnsi="宋体" w:eastAsia="宋体" w:cs="宋体"/>
                <w:sz w:val="24"/>
                <w:szCs w:val="24"/>
                <w:lang w:val="en-US" w:eastAsia="zh-CN" w:bidi="ar"/>
              </w:rPr>
              <w:t xml:space="preserve">每个核心组件均明确2个及以上关键控制点（如管材镀锌厚度、床板透气孔数量、板材封边厚度等），步骤清晰、可操作性强，且工艺文件可追溯</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③</w:t>
            </w:r>
            <w:r>
              <w:rPr>
                <w:rFonts w:hint="default" w:ascii="宋体" w:hAnsi="宋体" w:eastAsia="宋体" w:cs="宋体"/>
                <w:sz w:val="24"/>
                <w:szCs w:val="24"/>
                <w:lang w:val="en-US" w:eastAsia="zh-CN" w:bidi="ar"/>
              </w:rPr>
              <w:t xml:space="preserve">建立全流程质量管控体系，</w:t>
            </w:r>
            <w:r>
              <w:rPr>
                <w:rFonts w:hint="eastAsia" w:asciiTheme="minorEastAsia" w:hAnsiTheme="minorEastAsia" w:eastAsiaTheme="minorEastAsia" w:cstheme="minorEastAsia"/>
                <w:color w:val="auto"/>
                <w:sz w:val="24"/>
                <w:szCs w:val="24"/>
                <w:highlight w:val="none"/>
                <w:lang w:val="en-US" w:eastAsia="zh-CN" w:bidi="ar"/>
              </w:rPr>
              <w:t xml:space="preserve">④</w:t>
            </w:r>
            <w:r>
              <w:rPr>
                <w:rFonts w:hint="default" w:ascii="宋体" w:hAnsi="宋体" w:eastAsia="宋体" w:cs="宋体"/>
                <w:sz w:val="24"/>
                <w:szCs w:val="24"/>
                <w:lang w:val="en-US" w:eastAsia="zh-CN" w:bidi="ar"/>
              </w:rPr>
              <w:t xml:space="preserve">明确原材料采购审核、生产过程巡检（每道工序巡检频次≥2次/天，留存巡检记录）、成品检验（逐套检验床体牢固性、板材环保性、尺寸偏差等），各环节检验标准量化、责任分工明确，可追溯性强</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得5分。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4分</w:t>
            </w:r>
            <w:r>
              <w:rPr>
                <w:rFonts w:hint="eastAsia" w:asciiTheme="minorEastAsia" w:hAnsiTheme="minorEastAsia" w:eastAsiaTheme="minorEastAsia" w:cstheme="minorEastAsia"/>
                <w:color w:val="auto"/>
                <w:sz w:val="24"/>
                <w:szCs w:val="24"/>
                <w:highlight w:val="none"/>
                <w:lang w:val="en-US" w:eastAsia="zh-CN"/>
              </w:rPr>
              <w:t xml:space="preserve">：</w:t>
            </w:r>
            <w:r>
              <w:rPr>
                <w:rFonts w:hint="default" w:ascii="宋体" w:hAnsi="宋体" w:eastAsia="宋体" w:cs="宋体"/>
                <w:sz w:val="24"/>
                <w:szCs w:val="24"/>
                <w:lang w:val="en-US" w:eastAsia="zh-CN" w:bidi="ar"/>
              </w:rPr>
              <w:t xml:space="preserve">基本贴合采购技术参数，核心组件（床体、组合柜）加工流程明确，每个核心组件明确1-2个关键控制点，可操作性较好，工艺文件基本可追溯</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 xml:space="preserve">得4分。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3分</w:t>
            </w:r>
            <w:r>
              <w:rPr>
                <w:rFonts w:hint="eastAsia" w:asciiTheme="minorEastAsia" w:hAnsiTheme="minorEastAsia" w:eastAsiaTheme="minorEastAsia" w:cstheme="minorEastAsia"/>
                <w:color w:val="auto"/>
                <w:sz w:val="24"/>
                <w:szCs w:val="24"/>
                <w:highlight w:val="none"/>
                <w:lang w:val="en-US" w:eastAsia="zh-CN"/>
              </w:rPr>
              <w:t xml:space="preserve">：</w:t>
            </w:r>
            <w:r>
              <w:rPr>
                <w:rFonts w:hint="default" w:ascii="宋体" w:hAnsi="宋体" w:eastAsia="宋体" w:cs="宋体"/>
                <w:sz w:val="24"/>
                <w:szCs w:val="24"/>
                <w:lang w:val="en-US" w:eastAsia="zh-CN" w:bidi="ar"/>
              </w:rPr>
              <w:t xml:space="preserve">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 xml:space="preserve">，得3分。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2分</w:t>
            </w:r>
            <w:r>
              <w:rPr>
                <w:rFonts w:hint="eastAsia" w:asciiTheme="minorEastAsia" w:hAnsiTheme="minorEastAsia" w:eastAsiaTheme="minorEastAsia" w:cstheme="minorEastAsia"/>
                <w:color w:val="auto"/>
                <w:sz w:val="24"/>
                <w:szCs w:val="24"/>
                <w:highlight w:val="none"/>
                <w:lang w:val="en-US" w:eastAsia="zh-CN"/>
              </w:rPr>
              <w:t xml:space="preserve">：仅提供简易生产流程概述，</w:t>
            </w:r>
            <w:r>
              <w:rPr>
                <w:rFonts w:hint="default" w:ascii="宋体" w:hAnsi="宋体" w:eastAsia="宋体" w:cs="宋体"/>
                <w:sz w:val="24"/>
                <w:szCs w:val="24"/>
                <w:lang w:val="en-US" w:eastAsia="zh-CN" w:bidi="ar"/>
              </w:rPr>
              <w:t xml:space="preserve">质量管控体系不完善，</w:t>
            </w:r>
            <w:r>
              <w:rPr>
                <w:rFonts w:hint="eastAsia" w:ascii="宋体" w:hAnsi="宋体" w:eastAsia="宋体" w:cs="宋体"/>
                <w:sz w:val="24"/>
                <w:szCs w:val="24"/>
                <w:lang w:val="en-US" w:eastAsia="zh-CN" w:bidi="ar"/>
              </w:rPr>
              <w:t xml:space="preserve">未</w:t>
            </w:r>
            <w:r>
              <w:rPr>
                <w:rFonts w:hint="default" w:ascii="宋体" w:hAnsi="宋体" w:eastAsia="宋体" w:cs="宋体"/>
                <w:sz w:val="24"/>
                <w:szCs w:val="24"/>
                <w:lang w:val="en-US" w:eastAsia="zh-CN" w:bidi="ar"/>
              </w:rPr>
              <w:t xml:space="preserve">明确成品检验环节，无巡检记录</w:t>
            </w:r>
            <w:r>
              <w:rPr>
                <w:rFonts w:hint="eastAsia" w:asciiTheme="minorEastAsia" w:hAnsiTheme="minorEastAsia" w:eastAsiaTheme="minorEastAsia" w:cstheme="minorEastAsia"/>
                <w:color w:val="auto"/>
                <w:sz w:val="24"/>
                <w:szCs w:val="24"/>
                <w:highlight w:val="none"/>
                <w:lang w:val="en-US" w:eastAsia="zh-CN"/>
              </w:rPr>
              <w:t xml:space="preserve">，得2分。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1分</w:t>
            </w:r>
            <w:r>
              <w:rPr>
                <w:rFonts w:hint="eastAsia" w:asciiTheme="minorEastAsia" w:hAnsiTheme="minorEastAsia" w:eastAsiaTheme="minorEastAsia" w:cstheme="minorEastAsia"/>
                <w:color w:val="auto"/>
                <w:sz w:val="24"/>
                <w:szCs w:val="24"/>
                <w:highlight w:val="none"/>
                <w:lang w:val="en-US" w:eastAsia="zh-CN"/>
              </w:rPr>
              <w:t xml:space="preserve">：仅提供简单生产工艺文字说明，无任何质量管控相关内容，得1分。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0分</w:t>
            </w:r>
            <w:r>
              <w:rPr>
                <w:rFonts w:hint="eastAsia" w:asciiTheme="minorEastAsia" w:hAnsiTheme="minorEastAsia" w:eastAsiaTheme="minorEastAsia" w:cstheme="minorEastAsia"/>
                <w:color w:val="auto"/>
                <w:sz w:val="24"/>
                <w:szCs w:val="24"/>
                <w:highlight w:val="none"/>
                <w:lang w:val="en-US" w:eastAsia="zh-CN"/>
              </w:rPr>
              <w:t xml:space="preserve">：未提供任何质量保障及生产工艺相关方案，得0分。</w:t>
            </w:r>
            <w:r/>
          </w:p>
        </w:tc>
      </w:tr>
      <w:tr>
        <w:trPr>
          <w:jc w:val="center"/>
          <w:trHeight w:val="1510"/>
        </w:trPr>
        <w:tc>
          <w:tcPr>
            <w:shd w:val="clear" w:color="auto" w:fill="auto"/>
            <w:tcBorders>
              <w:left w:val="single" w:color="auto" w:sz="4" w:space="0"/>
              <w:right w:val="single" w:color="auto" w:sz="4" w:space="0"/>
            </w:tcBorders>
            <w:tcW w:w="751"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5分</w:t>
            </w:r>
            <w:r>
              <w:rPr>
                <w:rFonts w:hint="eastAsia" w:asciiTheme="minorEastAsia" w:hAnsiTheme="minorEastAsia" w:eastAsiaTheme="minorEastAsia" w:cstheme="minorEastAsia"/>
                <w:color w:val="auto"/>
                <w:sz w:val="24"/>
                <w:szCs w:val="24"/>
                <w:highlight w:val="none"/>
                <w:lang w:val="en-US" w:eastAsia="zh-CN"/>
              </w:rPr>
              <w:t xml:space="preserve">：售后服务体系完整全面，①明确质保范围涵盖产品主体、五金配件、安装质量，质保期内免费上门维修、免费更换非人为损坏配件、免费调试维护；②提供7×24小时全天候售后响应服务，接到故障通知后2小时内响应，4小时内派员到场，一般故障8小时内彻底排除，重大故障24小时内处置完毕；③配备充足项目专用备品备件，明确备件库存、供应渠道及极速配送时效；④承诺项目交付后提供1次免费操作及维护方案，每年开展1次免费上门巡检保养；⑤设立专属售后服务团队，明确标准化服务流程、投诉快速处理机制，所有服务条款均书面固化承诺，得5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4分</w:t>
            </w:r>
            <w:r>
              <w:rPr>
                <w:rFonts w:hint="eastAsia" w:asciiTheme="minorEastAsia" w:hAnsiTheme="minorEastAsia" w:eastAsiaTheme="minorEastAsia" w:cstheme="minorEastAsia"/>
                <w:color w:val="auto"/>
                <w:sz w:val="24"/>
                <w:szCs w:val="24"/>
                <w:highlight w:val="none"/>
                <w:lang w:val="en-US" w:eastAsia="zh-CN"/>
              </w:rPr>
              <w:t xml:space="preserve">：售后服务内容全面完善，①明确基础质保范围及免费售后内容；②提供工作日全天候售后响应，接到故障通知后4小时内响应，24小时内派员到场处置；③配备专用备品备件，承诺免费安装及维护方案，服务条款齐全、可行性强，得4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3分：</w:t>
            </w:r>
            <w:r>
              <w:rPr>
                <w:rFonts w:hint="eastAsia" w:asciiTheme="minorEastAsia" w:hAnsiTheme="minorEastAsia" w:eastAsiaTheme="minorEastAsia" w:cstheme="minorEastAsia"/>
                <w:color w:val="auto"/>
                <w:sz w:val="24"/>
                <w:szCs w:val="24"/>
                <w:highlight w:val="none"/>
                <w:lang w:val="en-US" w:eastAsia="zh-CN"/>
              </w:rPr>
              <w:t xml:space="preserve">售后服务方案完整，①明确基础故障维修服务；②约定售后响应及维修时限，提供基础备品备件，核心服务内容齐全，得3分。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2分</w:t>
            </w:r>
            <w:r>
              <w:rPr>
                <w:rFonts w:hint="eastAsia" w:asciiTheme="minorEastAsia" w:hAnsiTheme="minorEastAsia" w:eastAsiaTheme="minorEastAsia" w:cstheme="minorEastAsia"/>
                <w:color w:val="auto"/>
                <w:sz w:val="24"/>
                <w:szCs w:val="24"/>
                <w:highlight w:val="none"/>
                <w:lang w:val="en-US" w:eastAsia="zh-CN"/>
              </w:rPr>
              <w:t xml:space="preserve">：制定基础售后服务方案，仅明确质保期、基础维修服务，未约定响应时限、备件供应等配套服务，得2分。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1分</w:t>
            </w:r>
            <w:r>
              <w:rPr>
                <w:rFonts w:hint="eastAsia" w:asciiTheme="minorEastAsia" w:hAnsiTheme="minorEastAsia" w:eastAsiaTheme="minorEastAsia" w:cstheme="minorEastAsia"/>
                <w:color w:val="auto"/>
                <w:sz w:val="24"/>
                <w:szCs w:val="24"/>
                <w:highlight w:val="none"/>
                <w:lang w:val="en-US" w:eastAsia="zh-CN"/>
              </w:rPr>
              <w:t xml:space="preserve">：仅提供简单售后口头类书面承诺，无具体服务内容、服务时限及保障措施，得1分。</w:t>
            </w:r>
            <w:r/>
          </w:p>
          <w:p>
            <w:pPr>
              <w:pStyle w:val="968"/>
              <w:ind w:left="0" w:right="0" w:firstLine="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0分</w:t>
            </w:r>
            <w:r>
              <w:rPr>
                <w:rFonts w:hint="eastAsia" w:asciiTheme="minorEastAsia" w:hAnsiTheme="minorEastAsia" w:eastAsiaTheme="minorEastAsia" w:cstheme="minorEastAsia"/>
                <w:color w:val="auto"/>
                <w:sz w:val="24"/>
                <w:szCs w:val="24"/>
                <w:highlight w:val="none"/>
                <w:lang w:val="en-US" w:eastAsia="zh-CN"/>
              </w:rPr>
              <w:t xml:space="preserve">：未提供任何售后服务方案或相关承诺，得0分。</w:t>
            </w:r>
            <w:r/>
          </w:p>
        </w:tc>
      </w:tr>
      <w:tr>
        <w:trPr>
          <w:jc w:val="center"/>
          <w:trHeight w:val="1120"/>
        </w:trPr>
        <w:tc>
          <w:tcPr>
            <w:shd w:val="clear" w:color="auto" w:fill="auto"/>
            <w:tcBorders>
              <w:left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质保</w:t>
            </w:r>
            <w:r/>
          </w:p>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pacing w:val="-8"/>
                <w:sz w:val="24"/>
                <w:szCs w:val="24"/>
                <w:highlight w:val="none"/>
                <w:shd w:val="clear" w:color="auto" w:fill="fffffe"/>
                <w:lang w:val="en-US" w:eastAsia="zh-CN"/>
              </w:rPr>
              <w:suppressLineNumbers w:val="0"/>
            </w:pPr>
            <w:r>
              <w:rPr>
                <w:rFonts w:hint="eastAsia" w:asciiTheme="minorEastAsia" w:hAnsiTheme="minorEastAsia" w:eastAsiaTheme="minorEastAsia" w:cstheme="minorEastAsia"/>
                <w:color w:val="auto"/>
                <w:spacing w:val="-8"/>
                <w:sz w:val="24"/>
                <w:szCs w:val="24"/>
                <w:highlight w:val="none"/>
                <w:shd w:val="clear" w:color="auto" w:fill="fffff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满足招标文件3年免费质保期</w:t>
            </w:r>
            <w:r>
              <w:rPr>
                <w:rFonts w:hint="eastAsia" w:asciiTheme="minorEastAsia" w:hAnsiTheme="minorEastAsia" w:cstheme="minorEastAsia"/>
                <w:color w:val="auto"/>
                <w:sz w:val="24"/>
                <w:szCs w:val="24"/>
                <w:highlight w:val="none"/>
                <w:lang w:val="en-US" w:eastAsia="zh-CN" w:bidi="ar"/>
              </w:rPr>
              <w:t xml:space="preserve">（实质性要求）</w:t>
            </w:r>
            <w:r>
              <w:rPr>
                <w:rFonts w:hint="eastAsia" w:asciiTheme="minorEastAsia" w:hAnsiTheme="minorEastAsia" w:eastAsiaTheme="minorEastAsia" w:cstheme="minorEastAsia"/>
                <w:color w:val="auto"/>
                <w:sz w:val="24"/>
                <w:szCs w:val="24"/>
                <w:highlight w:val="none"/>
                <w:lang w:val="en-US" w:eastAsia="zh-CN" w:bidi="ar"/>
              </w:rPr>
              <w:t xml:space="preserve">得</w:t>
            </w:r>
            <w:r>
              <w:rPr>
                <w:rFonts w:hint="eastAsia" w:asciiTheme="minorEastAsia" w:hAnsiTheme="minorEastAsia" w:cstheme="minorEastAsia"/>
                <w:color w:val="auto"/>
                <w:sz w:val="24"/>
                <w:szCs w:val="24"/>
                <w:highlight w:val="none"/>
                <w:lang w:val="en-US" w:eastAsia="zh-CN" w:bidi="ar"/>
              </w:rPr>
              <w:t xml:space="preserve">1</w:t>
            </w:r>
            <w:r>
              <w:rPr>
                <w:rFonts w:hint="eastAsia" w:asciiTheme="minorEastAsia" w:hAnsiTheme="minorEastAsia" w:eastAsiaTheme="minorEastAsia" w:cstheme="minorEastAsia"/>
                <w:color w:val="auto"/>
                <w:sz w:val="24"/>
                <w:szCs w:val="24"/>
                <w:highlight w:val="none"/>
                <w:lang w:val="en-US" w:eastAsia="zh-CN" w:bidi="ar"/>
              </w:rPr>
              <w:t xml:space="preserve">分</w:t>
            </w:r>
            <w:r>
              <w:rPr>
                <w:rFonts w:hint="eastAsia"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在此基础上每增加</w:t>
            </w:r>
            <w:r>
              <w:rPr>
                <w:rFonts w:hint="eastAsia" w:asciiTheme="minorEastAsia" w:hAnsiTheme="minorEastAsia" w:eastAsiaTheme="minorEastAsia" w:cstheme="minorEastAsia"/>
                <w:color w:val="auto"/>
                <w:sz w:val="24"/>
                <w:szCs w:val="24"/>
                <w:highlight w:val="none"/>
                <w:lang w:val="en-US" w:eastAsia="zh-CN" w:bidi="ar"/>
              </w:rPr>
              <w:t xml:space="preserve">一年免费质保</w:t>
            </w:r>
            <w:r>
              <w:rPr>
                <w:rFonts w:hint="eastAsia" w:asciiTheme="minorEastAsia" w:hAnsiTheme="minorEastAsia" w:cstheme="minorEastAsia"/>
                <w:color w:val="auto"/>
                <w:sz w:val="24"/>
                <w:szCs w:val="24"/>
                <w:highlight w:val="none"/>
                <w:lang w:val="en-US" w:eastAsia="zh-CN" w:bidi="ar"/>
              </w:rPr>
              <w:t xml:space="preserve">期</w:t>
            </w:r>
            <w:r>
              <w:rPr>
                <w:rFonts w:hint="eastAsia" w:asciiTheme="minorEastAsia" w:hAnsiTheme="minorEastAsia" w:eastAsiaTheme="minorEastAsia" w:cstheme="minorEastAsia"/>
                <w:color w:val="auto"/>
                <w:sz w:val="24"/>
                <w:szCs w:val="24"/>
                <w:highlight w:val="none"/>
                <w:lang w:val="en-US" w:eastAsia="zh-CN" w:bidi="ar"/>
              </w:rPr>
              <w:t xml:space="preserve">的，</w:t>
            </w:r>
            <w:r>
              <w:rPr>
                <w:rFonts w:hint="eastAsia" w:asciiTheme="minorEastAsia" w:hAnsiTheme="minorEastAsia" w:cstheme="minorEastAsia"/>
                <w:color w:val="auto"/>
                <w:sz w:val="24"/>
                <w:szCs w:val="24"/>
                <w:highlight w:val="none"/>
                <w:lang w:val="en-US" w:eastAsia="zh-CN" w:bidi="ar"/>
              </w:rPr>
              <w:t xml:space="preserve">加</w:t>
            </w:r>
            <w:r>
              <w:rPr>
                <w:rFonts w:hint="eastAsia" w:asciiTheme="minorEastAsia" w:hAnsiTheme="minorEastAsia" w:eastAsiaTheme="minorEastAsia" w:cstheme="minorEastAsia"/>
                <w:color w:val="auto"/>
                <w:sz w:val="24"/>
                <w:szCs w:val="24"/>
                <w:highlight w:val="none"/>
                <w:lang w:val="en-US" w:eastAsia="zh-CN" w:bidi="ar"/>
              </w:rPr>
              <w:t xml:space="preserve">2分，最</w:t>
            </w:r>
            <w:r>
              <w:rPr>
                <w:rFonts w:hint="eastAsia" w:asciiTheme="minorEastAsia" w:hAnsiTheme="minorEastAsia" w:cstheme="minorEastAsia"/>
                <w:color w:val="auto"/>
                <w:sz w:val="24"/>
                <w:szCs w:val="24"/>
                <w:highlight w:val="none"/>
                <w:lang w:val="en-US" w:eastAsia="zh-CN" w:bidi="ar"/>
              </w:rPr>
              <w:t xml:space="preserve">高加4</w:t>
            </w:r>
            <w:r>
              <w:rPr>
                <w:rFonts w:hint="eastAsia" w:asciiTheme="minorEastAsia" w:hAnsiTheme="minorEastAsia" w:eastAsiaTheme="minorEastAsia" w:cstheme="minorEastAsia"/>
                <w:color w:val="auto"/>
                <w:sz w:val="24"/>
                <w:szCs w:val="24"/>
                <w:highlight w:val="none"/>
                <w:lang w:val="en-US" w:eastAsia="zh-CN" w:bidi="ar"/>
              </w:rPr>
              <w:t xml:space="preserve">分（投标时提供书面承诺函并加盖投标人公章,格式自拟）。</w:t>
            </w:r>
            <w:r/>
          </w:p>
        </w:tc>
      </w:tr>
      <w:tr>
        <w:trPr>
          <w:jc w:val="center"/>
          <w:trHeight w:val="1477"/>
        </w:trPr>
        <w:tc>
          <w:tcPr>
            <w:shd w:val="clear" w:color="auto" w:fill="auto"/>
            <w:tcBorders>
              <w:left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pacing w:val="-8"/>
                <w:sz w:val="24"/>
                <w:szCs w:val="24"/>
                <w:highlight w:val="none"/>
                <w:shd w:val="clear" w:color="auto" w:fill="fffffe"/>
                <w:lang w:val="en-US" w:eastAsia="zh-CN"/>
              </w:rPr>
              <w:suppressLineNumbers w:val="0"/>
            </w:pPr>
            <w:r>
              <w:rPr>
                <w:rFonts w:hint="eastAsia" w:asciiTheme="minorEastAsia" w:hAnsiTheme="minorEastAsia" w:eastAsiaTheme="minorEastAsia" w:cstheme="minorEastAsia"/>
                <w:color w:val="auto"/>
                <w:spacing w:val="-8"/>
                <w:sz w:val="24"/>
                <w:szCs w:val="24"/>
                <w:highlight w:val="none"/>
                <w:shd w:val="clear" w:color="auto" w:fill="fffff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投标人自2022年1月1日以来（以合同签订时间为准）完成类似项目业绩，每提供一份得</w:t>
            </w:r>
            <w:r>
              <w:rPr>
                <w:rFonts w:hint="eastAsia" w:asciiTheme="minorEastAsia" w:hAnsiTheme="minorEastAsia" w:cstheme="minorEastAsia"/>
                <w:color w:val="auto"/>
                <w:sz w:val="24"/>
                <w:szCs w:val="24"/>
                <w:highlight w:val="none"/>
                <w:lang w:val="en-US" w:eastAsia="zh-CN" w:bidi="ar"/>
              </w:rPr>
              <w:t xml:space="preserve">2</w:t>
            </w:r>
            <w:r>
              <w:rPr>
                <w:rFonts w:hint="eastAsia" w:asciiTheme="minorEastAsia" w:hAnsiTheme="minorEastAsia" w:eastAsiaTheme="minorEastAsia" w:cstheme="minorEastAsia"/>
                <w:color w:val="auto"/>
                <w:sz w:val="24"/>
                <w:szCs w:val="24"/>
                <w:highlight w:val="none"/>
                <w:lang w:val="en-US" w:eastAsia="zh-CN" w:bidi="ar"/>
              </w:rPr>
              <w:t xml:space="preserve">分，最高得</w:t>
            </w:r>
            <w:r>
              <w:rPr>
                <w:rFonts w:hint="eastAsia" w:asciiTheme="minorEastAsia" w:hAnsiTheme="minorEastAsia" w:cstheme="minorEastAsia"/>
                <w:color w:val="auto"/>
                <w:sz w:val="24"/>
                <w:szCs w:val="24"/>
                <w:highlight w:val="none"/>
                <w:lang w:val="en-US" w:eastAsia="zh-CN" w:bidi="ar"/>
              </w:rPr>
              <w:t xml:space="preserve">4</w:t>
            </w:r>
            <w:r>
              <w:rPr>
                <w:rFonts w:hint="eastAsia" w:asciiTheme="minorEastAsia" w:hAnsiTheme="minorEastAsia" w:eastAsiaTheme="minorEastAsia" w:cstheme="minorEastAsia"/>
                <w:color w:val="auto"/>
                <w:sz w:val="24"/>
                <w:szCs w:val="24"/>
                <w:highlight w:val="none"/>
                <w:lang w:val="en-US" w:eastAsia="zh-CN" w:bidi="ar"/>
              </w:rPr>
              <w:t xml:space="preserve">分。 </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 注：提供合同（须提供合同双方签署页及合同签署双方的完整信息）。</w:t>
            </w:r>
            <w:r/>
          </w:p>
        </w:tc>
      </w:tr>
      <w:tr>
        <w:trPr>
          <w:jc w:val="center"/>
          <w:trHeight w:val="90"/>
        </w:trPr>
        <w:tc>
          <w:tcPr>
            <w:shd w:val="clear" w:color="auto" w:fill="auto"/>
            <w:tcBorders>
              <w:left w:val="single" w:color="auto" w:sz="4" w:space="0"/>
              <w:right w:val="single" w:color="auto" w:sz="4" w:space="0"/>
            </w:tcBorders>
            <w:tcW w:w="751"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Borders>
              <w:left w:val="single" w:color="auto" w:sz="4" w:space="0"/>
              <w:right w:val="single" w:color="auto" w:sz="4" w:space="0"/>
            </w:tcBorders>
            <w:tcW w:w="95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诚信</w:t>
            </w:r>
            <w:r/>
          </w:p>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968"/>
              <w:ind w:left="0" w:right="0" w:firstLine="0"/>
              <w:jc w:val="center"/>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pacing w:val="-8"/>
                <w:sz w:val="24"/>
                <w:szCs w:val="24"/>
                <w:highlight w:val="none"/>
                <w:shd w:val="clear" w:color="auto" w:fill="fffffe"/>
                <w:lang w:val="en-US" w:eastAsia="zh-CN"/>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7061" w:type="dxa"/>
            <w:vAlign w:val="top"/>
            <w:textDirection w:val="lrTb"/>
            <w:noWrap w:val="false"/>
          </w:tcPr>
          <w:p>
            <w:pPr>
              <w:ind w:left="0" w:right="0"/>
              <w:jc w:val="both"/>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投标人提交签署并盖章《盐城市大丰区政府招标采购供应商承诺书》的得1分；没有提供的得</w:t>
            </w:r>
            <w:r>
              <w:rPr>
                <w:rFonts w:hint="eastAsia"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lang w:val="en-US" w:eastAsia="zh-CN"/>
              </w:rPr>
              <w:t xml:space="preserve">分。</w:t>
            </w:r>
            <w:r/>
          </w:p>
        </w:tc>
      </w:tr>
    </w:tbl>
    <w:p>
      <w:pPr>
        <w:ind w:firstLine="480"/>
        <w:keepLines w:val="0"/>
        <w:keepNext w:val="0"/>
        <w:pageBreakBefore w:val="0"/>
        <w:spacing w:before="157" w:line="360" w:lineRule="auto"/>
        <w:widowControl w:val="off"/>
        <w:rPr>
          <w:rFonts w:hint="eastAsia" w:ascii="黑体" w:hAnsi="宋体" w:eastAsia="黑体" w:cs="黑体"/>
          <w:color w:val="auto"/>
          <w:sz w:val="44"/>
          <w:szCs w:val="44"/>
          <w:highlight w:val="none"/>
        </w:rPr>
      </w:pPr>
      <w:r>
        <w:rPr>
          <w:rFonts w:hint="eastAsia" w:ascii="宋体" w:hAnsi="宋体" w:cs="Courier New"/>
          <w:color w:val="auto"/>
          <w:sz w:val="24"/>
          <w:highlight w:val="none"/>
        </w:rPr>
        <w:t xml:space="preserve">注：</w:t>
      </w:r>
      <w:r>
        <w:rPr>
          <w:rFonts w:hint="eastAsia" w:ascii="宋体" w:hAnsi="宋体" w:cs="Courier New"/>
          <w:bCs/>
          <w:color w:val="auto"/>
          <w:sz w:val="24"/>
          <w:highlight w:val="none"/>
        </w:rPr>
        <w:t xml:space="preserve">投标人对所提供资料的真实性负责。采购人保留对中标单位所有资料进行复核的权利。如有弄虚作假者，一经发现，立即取消其中标资格，并向相关主管部门汇报。</w:t>
      </w:r>
      <w:r>
        <w:rPr>
          <w:rFonts w:hint="eastAsia" w:ascii="宋体" w:hAnsi="宋体" w:eastAsia="宋体" w:cs="宋体"/>
          <w:color w:val="auto"/>
          <w:highlight w:val="none"/>
        </w:rPr>
        <w:t xml:space="preserve"> </w:t>
      </w:r>
      <w:r>
        <w:rPr>
          <w:rFonts w:hint="eastAsia" w:ascii="黑体" w:hAnsi="宋体" w:eastAsia="黑体" w:cs="黑体"/>
          <w:color w:val="auto"/>
          <w:sz w:val="44"/>
          <w:szCs w:val="44"/>
          <w:highlight w:val="none"/>
        </w:rPr>
        <w:br w:type="page" w:clear="all"/>
      </w:r>
      <w:r/>
    </w:p>
    <w:p>
      <w:pPr>
        <w:pStyle w:val="966"/>
        <w:jc w:val="center"/>
        <w:keepNext/>
        <w:spacing w:beforeAutospacing="0" w:afterAutospacing="0"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966"/>
        <w:ind w:right="840"/>
        <w:jc w:val="center"/>
        <w:spacing w:beforeAutospacing="0" w:afterAutospacing="0" w:line="36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第六章  投标文件格式 </w:t>
      </w:r>
      <w:r/>
    </w:p>
    <w:p>
      <w:pPr>
        <w:pStyle w:val="966"/>
        <w:jc w:val="center"/>
        <w:spacing w:beforeAutospacing="0" w:afterAutospacing="0" w:line="360" w:lineRule="auto"/>
        <w:rPr>
          <w:rFonts w:hint="eastAsia" w:ascii="宋体" w:hAnsi="宋体" w:eastAsia="宋体" w:cs="宋体"/>
          <w:b/>
          <w:color w:val="auto"/>
          <w:sz w:val="72"/>
          <w:szCs w:val="72"/>
          <w:highlight w:val="none"/>
        </w:rPr>
      </w:pPr>
      <w:r/>
      <w:bookmarkStart w:id="181" w:name="_Toc26554094"/>
      <w:r/>
      <w:bookmarkEnd w:id="181"/>
      <w:r/>
      <w:bookmarkStart w:id="182" w:name="_Hlt26671244"/>
      <w:r/>
      <w:bookmarkEnd w:id="182"/>
      <w:r/>
      <w:bookmarkStart w:id="183" w:name="_Hlt26955039"/>
      <w:r/>
      <w:bookmarkEnd w:id="183"/>
      <w:r/>
      <w:bookmarkStart w:id="184" w:name="_Toc49090576"/>
      <w:r/>
      <w:bookmarkStart w:id="185" w:name="_Toc120614282"/>
      <w:r/>
      <w:r/>
    </w:p>
    <w:p>
      <w:pPr>
        <w:pStyle w:val="9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66"/>
        <w:jc w:val="center"/>
        <w:spacing w:beforeAutospacing="0" w:afterAutospacing="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66"/>
        <w:ind w:firstLine="1446"/>
        <w:jc w:val="both"/>
        <w:spacing w:beforeAutospacing="0" w:afterAutospacing="0" w:line="360" w:lineRule="auto"/>
        <w:rPr>
          <w:color w:val="auto"/>
          <w:highlight w:val="none"/>
        </w:rPr>
      </w:pPr>
      <w:r>
        <w:rPr>
          <w:rFonts w:hint="eastAsia" w:ascii="宋体" w:hAnsi="宋体" w:eastAsia="宋体" w:cs="宋体"/>
          <w:b/>
          <w:color w:val="auto"/>
          <w:sz w:val="72"/>
          <w:szCs w:val="72"/>
          <w:highlight w:val="none"/>
        </w:rPr>
        <w:t xml:space="preserve">投  标  文  件</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ind w:firstLine="108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966"/>
        <w:ind w:firstLine="108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966"/>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966"/>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66"/>
        <w:jc w:val="both"/>
        <w:spacing w:beforeAutospacing="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66"/>
        <w:jc w:val="center"/>
        <w:spacing w:beforeAutospacing="0" w:afterAutospacing="0" w:line="360" w:lineRule="auto"/>
        <w:rPr>
          <w:color w:val="auto"/>
          <w:highlight w:val="none"/>
        </w:rPr>
      </w:pPr>
      <w:r>
        <w:rPr>
          <w:rFonts w:hint="eastAsia" w:ascii="宋体" w:hAnsi="宋体" w:eastAsia="宋体" w:cs="宋体"/>
          <w:b/>
          <w:color w:val="auto"/>
          <w:sz w:val="32"/>
          <w:szCs w:val="32"/>
          <w:highlight w:val="none"/>
        </w:rPr>
        <w:t xml:space="preserve">投标文件目录</w:t>
      </w:r>
      <w:r/>
    </w:p>
    <w:p>
      <w:pPr>
        <w:pStyle w:val="966"/>
        <w:ind w:firstLine="480"/>
        <w:jc w:val="center"/>
        <w:spacing w:beforeAutospacing="0" w:afterAutospacing="0" w:line="360" w:lineRule="auto"/>
        <w:rPr>
          <w:color w:val="auto"/>
          <w:highlight w:val="none"/>
        </w:rPr>
      </w:pPr>
      <w:r>
        <w:rPr>
          <w:color w:val="auto"/>
          <w:highlight w:val="none"/>
        </w:rPr>
        <w:t xml:space="preserve"> </w:t>
      </w:r>
      <w:r/>
    </w:p>
    <w:p>
      <w:pPr>
        <w:pStyle w:val="966"/>
        <w:ind w:firstLine="480"/>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w:t>
      </w:r>
      <w:r/>
    </w:p>
    <w:p>
      <w:pPr>
        <w:ind w:firstLine="480"/>
        <w:jc w:val="left"/>
        <w:spacing w:line="360" w:lineRule="auto"/>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二、</w:t>
      </w:r>
      <w:r>
        <w:rPr>
          <w:rFonts w:hint="eastAsia" w:ascii="宋体" w:hAnsi="宋体" w:eastAsia="宋体" w:cs="宋体"/>
          <w:iCs/>
          <w:color w:val="auto"/>
          <w:sz w:val="24"/>
          <w:highlight w:val="none"/>
          <w:lang w:val="en-US" w:eastAsia="zh-CN"/>
        </w:rPr>
        <w:t xml:space="preserve">2024年或2025年</w:t>
      </w:r>
      <w:r>
        <w:rPr>
          <w:rFonts w:hint="eastAsia" w:ascii="宋体" w:hAnsi="宋体" w:eastAsia="宋体" w:cs="宋体"/>
          <w:iCs/>
          <w:color w:val="auto"/>
          <w:sz w:val="24"/>
          <w:highlight w:val="none"/>
        </w:rPr>
        <w:t xml:space="preserve">财务状况报告（至少提供资产负债表、利润表、现金流量表，投标人成立不满一年无需提供）。</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八、投标函</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九、中小企业声明函（如有）</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十、残疾人福利性单位声明函（如有）</w:t>
      </w:r>
      <w:r/>
    </w:p>
    <w:p>
      <w:pPr>
        <w:pStyle w:val="966"/>
        <w:ind w:firstLine="480"/>
        <w:jc w:val="both"/>
        <w:spacing w:beforeAutospacing="0" w:afterAutospacing="0" w:line="360" w:lineRule="auto"/>
        <w:rPr>
          <w:rFonts w:hint="eastAsia" w:ascii="宋体" w:hAnsi="宋体" w:eastAsia="宋体" w:cs="宋体"/>
          <w:iCs/>
          <w:color w:val="auto"/>
          <w:highlight w:val="none"/>
          <w:lang w:eastAsia="zh-CN"/>
        </w:rPr>
      </w:pPr>
      <w:r>
        <w:rPr>
          <w:rFonts w:hint="eastAsia" w:ascii="宋体" w:hAnsi="宋体" w:eastAsia="宋体" w:cs="宋体"/>
          <w:iCs/>
          <w:color w:val="auto"/>
          <w:highlight w:val="none"/>
        </w:rPr>
        <w:t xml:space="preserve">十一、联合体协议</w:t>
      </w:r>
      <w:r>
        <w:rPr>
          <w:rFonts w:hint="eastAsia" w:ascii="宋体" w:hAnsi="宋体" w:eastAsia="宋体" w:cs="宋体"/>
          <w:iCs/>
          <w:color w:val="auto"/>
          <w:highlight w:val="none"/>
          <w:lang w:eastAsia="zh-CN"/>
        </w:rPr>
        <w:t xml:space="preserve">（</w:t>
      </w:r>
      <w:r>
        <w:rPr>
          <w:rFonts w:hint="eastAsia" w:ascii="宋体" w:hAnsi="宋体" w:eastAsia="宋体" w:cs="宋体"/>
          <w:iCs/>
          <w:color w:val="auto"/>
          <w:highlight w:val="none"/>
          <w:lang w:val="en-US" w:eastAsia="zh-CN"/>
        </w:rPr>
        <w:t xml:space="preserve">如有</w:t>
      </w:r>
      <w:r>
        <w:rPr>
          <w:rFonts w:hint="eastAsia" w:ascii="宋体" w:hAnsi="宋体" w:eastAsia="宋体" w:cs="宋体"/>
          <w:iCs/>
          <w:color w:val="auto"/>
          <w:highlight w:val="none"/>
          <w:lang w:eastAsia="zh-CN"/>
        </w:rPr>
        <w:t xml:space="preserve">）</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十二、投标分项报价表</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十三、技术要求响应及偏离表</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十四、商务要求响应及偏离表</w:t>
      </w:r>
      <w:r/>
    </w:p>
    <w:p>
      <w:pPr>
        <w:pStyle w:val="966"/>
        <w:ind w:firstLine="480"/>
        <w:jc w:val="both"/>
        <w:spacing w:beforeAutospacing="0" w:afterAutospacing="0" w:line="360" w:lineRule="auto"/>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十五、开标一览表</w:t>
      </w:r>
      <w:r/>
    </w:p>
    <w:p>
      <w:pPr>
        <w:ind w:firstLine="480"/>
        <w:spacing w:before="50" w:after="50" w:line="360" w:lineRule="auto"/>
        <w:widowControl/>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十六、根据招标文件“第五章 定标原则与评标标准”的要求需要提供的材料及投标人认为有必要提供的其他材料</w:t>
      </w:r>
      <w:r/>
    </w:p>
    <w:p>
      <w:pPr>
        <w:pStyle w:val="966"/>
        <w:ind w:firstLine="480"/>
        <w:jc w:val="both"/>
        <w:spacing w:beforeAutospacing="0" w:afterAutospacing="0" w:line="360" w:lineRule="auto"/>
        <w:rPr>
          <w:color w:val="auto"/>
          <w:highlight w:val="none"/>
        </w:rPr>
      </w:pPr>
      <w:r>
        <w:rPr>
          <w:rFonts w:hint="eastAsia" w:ascii="宋体" w:hAnsi="宋体" w:eastAsia="宋体" w:cs="宋体"/>
          <w:iCs/>
          <w:color w:val="auto"/>
          <w:highlight w:val="none"/>
        </w:rPr>
        <w:t xml:space="preserve">十七、</w:t>
      </w:r>
      <w:r>
        <w:rPr>
          <w:rFonts w:hint="eastAsia" w:ascii="宋体" w:hAnsi="宋体" w:eastAsia="宋体" w:cs="宋体"/>
          <w:iCs/>
          <w:color w:val="auto"/>
          <w:highlight w:val="none"/>
          <w:lang w:eastAsia="zh-CN"/>
        </w:rPr>
        <w:t xml:space="preserve">盐城市大丰区政府招标采购供应商承诺书</w:t>
      </w:r>
      <w:r>
        <w:rPr>
          <w:color w:val="auto"/>
          <w:highlight w:val="none"/>
        </w:rPr>
        <w:t xml:space="preserve">  </w:t>
      </w:r>
      <w:r/>
    </w:p>
    <w:p>
      <w:pPr>
        <w:pStyle w:val="966"/>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66"/>
        <w:ind w:firstLine="480"/>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rFonts w:eastAsia="黑体"/>
          <w:color w:val="auto"/>
          <w:highlight w:val="none"/>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rPr>
        <w:t xml:space="preserve">2024年或2025年</w:t>
      </w:r>
      <w:r>
        <w:rPr>
          <w:rFonts w:hint="eastAsia" w:ascii="黑体" w:hAnsi="宋体" w:eastAsia="黑体" w:cs="黑体"/>
          <w:i/>
          <w:color w:val="auto"/>
          <w:sz w:val="32"/>
          <w:szCs w:val="32"/>
          <w:highlight w:val="none"/>
          <w:u w:val="single"/>
        </w:rPr>
        <w:t xml:space="preserve">财务状况报告</w:t>
      </w:r>
      <w:r/>
    </w:p>
    <w:p>
      <w:pPr>
        <w:jc w:val="left"/>
        <w:spacing w:line="360" w:lineRule="auto"/>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rPr>
          <w:rFonts w:hint="eastAsia" w:ascii="宋体" w:hAnsi="宋体" w:eastAsia="宋体" w:cs="宋体"/>
          <w:iCs/>
          <w:color w:val="auto"/>
          <w:sz w:val="24"/>
          <w:highlight w:val="none"/>
        </w:rPr>
      </w:r>
      <w:r/>
    </w:p>
    <w:p>
      <w:pPr>
        <w:pStyle w:val="966"/>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966"/>
        <w:jc w:val="both"/>
        <w:spacing w:beforeAutospacing="0" w:afterAutospacing="0" w:line="360" w:lineRule="auto"/>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966"/>
        <w:jc w:val="both"/>
        <w:spacing w:beforeAutospacing="0" w:afterAutospacing="0" w:line="360" w:lineRule="auto"/>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966"/>
        <w:ind w:firstLine="492"/>
        <w:jc w:val="both"/>
        <w:spacing w:beforeAutospacing="0" w:afterAutospacing="0" w:line="360" w:lineRule="auto"/>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66"/>
        <w:ind w:firstLine="492"/>
        <w:jc w:val="both"/>
        <w:spacing w:beforeAutospacing="0" w:afterAutospacing="0" w:line="360" w:lineRule="auto"/>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6"/>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966"/>
        <w:ind w:firstLine="480"/>
        <w:jc w:val="both"/>
        <w:spacing w:beforeAutospacing="0" w:afterAutospacing="0" w:line="360" w:lineRule="auto"/>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966"/>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66"/>
        <w:jc w:val="both"/>
        <w:spacing w:beforeAutospacing="0" w:afterAutospacing="0" w:line="360" w:lineRule="auto"/>
        <w:rPr>
          <w:color w:val="auto"/>
          <w:highlight w:val="none"/>
        </w:rPr>
      </w:pPr>
      <w:r>
        <w:rPr>
          <w:rFonts w:hint="eastAsia" w:ascii="宋体" w:hAnsi="宋体" w:eastAsia="宋体" w:cs="宋体"/>
          <w:b/>
          <w:color w:val="auto"/>
          <w:sz w:val="44"/>
          <w:szCs w:val="44"/>
          <w:highlight w:val="none"/>
        </w:rPr>
        <w:t xml:space="preserve">       声  明</w:t>
      </w:r>
      <w:r/>
    </w:p>
    <w:p>
      <w:pPr>
        <w:pStyle w:val="966"/>
        <w:jc w:val="both"/>
        <w:spacing w:beforeAutospacing="0" w:afterAutospacing="0" w:line="360" w:lineRule="auto"/>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66"/>
        <w:jc w:val="both"/>
        <w:spacing w:beforeAutospacing="0" w:afterAutospacing="0" w:line="360" w:lineRule="auto"/>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66"/>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66"/>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66"/>
        <w:ind w:firstLine="72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66"/>
        <w:ind w:firstLine="480"/>
        <w:jc w:val="both"/>
        <w:spacing w:beforeAutospacing="0" w:afterAutospacing="0" w:line="360" w:lineRule="auto"/>
        <w:tabs>
          <w:tab w:val="left" w:pos="360" w:leader="none"/>
        </w:tabs>
        <w:rPr>
          <w:color w:val="auto"/>
          <w:highlight w:val="none"/>
        </w:rPr>
      </w:pPr>
      <w:r>
        <w:rPr>
          <w:rFonts w:ascii="Times New Roman" w:hAnsi="Times New Roman"/>
          <w:color w:val="auto"/>
          <w:highlight w:val="none"/>
        </w:rPr>
        <w:t xml:space="preserve">    日期：</w:t>
      </w:r>
      <w:bookmarkStart w:id="187" w:name="_Hlt26671380"/>
      <w:r/>
      <w:bookmarkStart w:id="188" w:name="_Hlt26955070"/>
      <w:r/>
      <w:bookmarkStart w:id="189" w:name="_格式3__银行出具的资信证明"/>
      <w:r>
        <w:rPr>
          <w:rFonts w:ascii="Times New Roman" w:hAnsi="Times New Roman"/>
          <w:color w:val="auto"/>
          <w:highlight w:val="none"/>
          <w:u w:val="single"/>
        </w:rPr>
        <w:t xml:space="preserve">                                         </w:t>
      </w:r>
      <w:r/>
    </w:p>
    <w:p>
      <w:pPr>
        <w:pStyle w:val="966"/>
        <w:ind w:firstLine="420"/>
        <w:jc w:val="both"/>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rFonts w:hint="eastAsia" w:ascii="黑体" w:hAnsi="宋体" w:eastAsia="黑体" w:cs="黑体"/>
          <w:b/>
          <w:color w:val="auto"/>
          <w:sz w:val="32"/>
          <w:szCs w:val="32"/>
          <w:highlight w:val="none"/>
          <w:lang w:val="en-US" w:eastAsia="zh-CN"/>
        </w:rPr>
      </w:pPr>
      <w:r>
        <w:rPr>
          <w:rFonts w:hint="eastAsia" w:ascii="宋体" w:hAnsi="宋体" w:eastAsia="宋体" w:cs="宋体"/>
          <w:b/>
          <w:color w:val="auto"/>
          <w:highlight w:val="none"/>
        </w:rPr>
        <w:br w:type="page" w:clear="all"/>
      </w:r>
      <w:r>
        <w:rPr>
          <w:rFonts w:hint="eastAsia" w:ascii="黑体" w:hAnsi="宋体" w:eastAsia="黑体" w:cs="黑体"/>
          <w:i/>
          <w:color w:val="auto"/>
          <w:sz w:val="32"/>
          <w:szCs w:val="32"/>
          <w:highlight w:val="none"/>
          <w:u w:val="single"/>
        </w:rPr>
        <w:t xml:space="preserve">八、投标函</w:t>
      </w:r>
      <w:r/>
    </w:p>
    <w:p>
      <w:pPr>
        <w:pStyle w:val="966"/>
        <w:spacing w:beforeAutospacing="0" w:afterAutospacing="0" w:line="360" w:lineRule="auto"/>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盐城市大丰区教育局</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根据贵方的 </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招标文件，正式授权下述签字人______(姓名)代表我方______________（投标人的名称），全权处理本次项目投标的有关事宜。</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据此函，签字人__________(姓名)兹宣布同意如下：</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1.按招标文件规定的各项要求，向买方提供所需服务（包含与服务相关的货物）。</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2.我们完全理解贵方不一定将合同授予最低报价的投标人。</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3.我们已详细审核全部招标文件及其有效补充文件，我们知道必须放弃提出含糊不清或误解问题的权利。</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4.我们同意从规定的开标日期起遵循本投标文件，并在规定的投标有效期期满之前均具有约束力。</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6.一旦我方中标,我方将根据招标文件的规定，严格履行合同的责任和义务,并保证在招标文件规定的时间完成项目，交付买方验收、使用。</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7.与本投标有关的正式通讯地址为：</w:t>
      </w:r>
      <w:r/>
    </w:p>
    <w:p>
      <w:pPr>
        <w:ind w:firstLine="480"/>
        <w:spacing w:line="360" w:lineRule="auto"/>
        <w:rPr>
          <w:color w:val="auto"/>
          <w:sz w:val="24"/>
          <w:highlight w:val="none"/>
        </w:rPr>
      </w:pPr>
      <w:r>
        <w:rPr>
          <w:rFonts w:hint="eastAsia"/>
          <w:color w:val="auto"/>
          <w:sz w:val="24"/>
          <w:highlight w:val="none"/>
        </w:rPr>
        <w:t xml:space="preserve">地     址：</w:t>
      </w:r>
      <w:r/>
    </w:p>
    <w:p>
      <w:pPr>
        <w:ind w:firstLine="480"/>
        <w:spacing w:line="360" w:lineRule="auto"/>
        <w:rPr>
          <w:color w:val="auto"/>
          <w:sz w:val="24"/>
          <w:highlight w:val="none"/>
        </w:rPr>
      </w:pPr>
      <w:r>
        <w:rPr>
          <w:rFonts w:hint="eastAsia"/>
          <w:color w:val="auto"/>
          <w:sz w:val="24"/>
          <w:highlight w:val="none"/>
        </w:rPr>
        <w:t xml:space="preserve">邮    </w:t>
      </w:r>
      <w:r>
        <w:rPr>
          <w:rFonts w:hint="eastAsia"/>
          <w:color w:val="auto"/>
          <w:sz w:val="24"/>
          <w:highlight w:val="none"/>
          <w:lang w:val="en-US" w:eastAsia="zh-CN"/>
        </w:rPr>
        <w:t xml:space="preserve"> </w:t>
      </w:r>
      <w:r>
        <w:rPr>
          <w:rFonts w:hint="eastAsia"/>
          <w:color w:val="auto"/>
          <w:sz w:val="24"/>
          <w:highlight w:val="none"/>
        </w:rPr>
        <w:t xml:space="preserve">编：</w:t>
      </w:r>
      <w:r/>
    </w:p>
    <w:p>
      <w:pPr>
        <w:ind w:firstLine="480"/>
        <w:spacing w:line="360" w:lineRule="auto"/>
        <w:rPr>
          <w:color w:val="auto"/>
          <w:sz w:val="24"/>
          <w:highlight w:val="none"/>
        </w:rPr>
      </w:pPr>
      <w:r>
        <w:rPr>
          <w:rFonts w:hint="eastAsia"/>
          <w:color w:val="auto"/>
          <w:sz w:val="24"/>
          <w:highlight w:val="none"/>
        </w:rPr>
        <w:t xml:space="preserve">电     话：</w:t>
      </w:r>
      <w:r/>
    </w:p>
    <w:p>
      <w:pPr>
        <w:ind w:firstLine="480"/>
        <w:spacing w:line="360" w:lineRule="auto"/>
        <w:rPr>
          <w:color w:val="auto"/>
          <w:sz w:val="24"/>
          <w:highlight w:val="none"/>
        </w:rPr>
      </w:pPr>
      <w:r>
        <w:rPr>
          <w:rFonts w:hint="eastAsia"/>
          <w:color w:val="auto"/>
          <w:sz w:val="24"/>
          <w:highlight w:val="none"/>
        </w:rPr>
        <w:t xml:space="preserve">传     真：</w:t>
      </w:r>
      <w:r/>
    </w:p>
    <w:p>
      <w:pPr>
        <w:ind w:firstLine="480"/>
        <w:spacing w:line="360" w:lineRule="auto"/>
        <w:rPr>
          <w:color w:val="auto"/>
          <w:sz w:val="24"/>
          <w:highlight w:val="none"/>
        </w:rPr>
      </w:pPr>
      <w:r>
        <w:rPr>
          <w:rFonts w:hint="eastAsia"/>
          <w:color w:val="auto"/>
          <w:sz w:val="24"/>
          <w:highlight w:val="none"/>
        </w:rPr>
        <w:t xml:space="preserve">投标人开户行：</w:t>
      </w:r>
      <w:r/>
    </w:p>
    <w:p>
      <w:pPr>
        <w:ind w:firstLine="480"/>
        <w:spacing w:line="360" w:lineRule="auto"/>
        <w:rPr>
          <w:color w:val="auto"/>
          <w:sz w:val="24"/>
          <w:highlight w:val="none"/>
        </w:rPr>
      </w:pPr>
      <w:r>
        <w:rPr>
          <w:rFonts w:hint="eastAsia"/>
          <w:color w:val="auto"/>
          <w:sz w:val="24"/>
          <w:highlight w:val="none"/>
          <w:lang w:val="en-US" w:eastAsia="zh-CN"/>
        </w:rPr>
        <w:t xml:space="preserve">帐</w:t>
      </w:r>
      <w:r>
        <w:rPr>
          <w:rFonts w:hint="eastAsia"/>
          <w:color w:val="auto"/>
          <w:sz w:val="24"/>
          <w:highlight w:val="none"/>
        </w:rPr>
        <w:t xml:space="preserve">     号： </w:t>
      </w:r>
      <w:r/>
    </w:p>
    <w:p>
      <w:pPr>
        <w:ind w:firstLine="480"/>
        <w:spacing w:line="360" w:lineRule="auto"/>
        <w:rPr>
          <w:color w:val="auto"/>
          <w:sz w:val="24"/>
          <w:highlight w:val="none"/>
        </w:rPr>
      </w:pPr>
      <w:r>
        <w:rPr>
          <w:rFonts w:hint="eastAsia"/>
          <w:color w:val="auto"/>
          <w:sz w:val="24"/>
          <w:highlight w:val="none"/>
        </w:rPr>
        <w:t xml:space="preserve">日     期：______年____月____日</w:t>
      </w:r>
      <w:r/>
    </w:p>
    <w:p>
      <w:pPr>
        <w:pStyle w:val="966"/>
        <w:ind w:firstLine="240"/>
        <w:jc w:val="center"/>
        <w:spacing w:beforeAutospacing="0" w:afterAutospacing="0" w:line="360" w:lineRule="auto"/>
        <w:rPr>
          <w:color w:val="auto"/>
          <w:highlight w:val="none"/>
        </w:rPr>
      </w:pPr>
      <w:r>
        <w:rPr>
          <w:color w:val="auto"/>
          <w:highlight w:val="none"/>
        </w:rPr>
        <w:t xml:space="preserve"> </w:t>
      </w:r>
      <w:r/>
    </w:p>
    <w:p>
      <w:pPr>
        <w:spacing w:line="360" w:lineRule="auto"/>
        <w:rPr>
          <w:color w:val="auto"/>
          <w:highlight w:val="none"/>
        </w:rPr>
      </w:pPr>
      <w:r>
        <w:rPr>
          <w:color w:val="auto"/>
          <w:highlight w:val="none"/>
        </w:rPr>
        <w:br w:type="page" w:clear="all"/>
      </w:r>
      <w:r/>
    </w:p>
    <w:p>
      <w:pPr>
        <w:pStyle w:val="966"/>
        <w:jc w:val="center"/>
        <w:spacing w:beforeAutospacing="0" w:afterAutospacing="0" w:line="360" w:lineRule="auto"/>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九、中小企业声明函（</w:t>
      </w:r>
      <w:r>
        <w:rPr>
          <w:rFonts w:hint="eastAsia" w:ascii="黑体" w:hAnsi="宋体" w:eastAsia="黑体" w:cs="黑体"/>
          <w:i/>
          <w:color w:val="auto"/>
          <w:sz w:val="32"/>
          <w:szCs w:val="32"/>
          <w:highlight w:val="none"/>
          <w:u w:val="single"/>
          <w:lang w:val="en-US" w:eastAsia="zh-CN"/>
        </w:rPr>
        <w:t xml:space="preserve">货物</w:t>
      </w:r>
      <w:r>
        <w:rPr>
          <w:rFonts w:hint="eastAsia" w:ascii="黑体" w:hAnsi="宋体" w:eastAsia="黑体" w:cs="黑体"/>
          <w:i/>
          <w:color w:val="auto"/>
          <w:sz w:val="32"/>
          <w:szCs w:val="32"/>
          <w:highlight w:val="none"/>
          <w:u w:val="single"/>
        </w:rPr>
        <w:t xml:space="preserve">）</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i/>
          <w:iCs/>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i/>
          <w:iCs/>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3"/>
        </w:num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966"/>
        <w:ind w:right="720"/>
        <w:jc w:val="both"/>
        <w:spacing w:beforeAutospacing="0" w:afterAutospacing="0" w:line="360" w:lineRule="auto"/>
        <w:rPr>
          <w:color w:val="auto"/>
          <w:highlight w:val="none"/>
        </w:rPr>
      </w:pPr>
      <w:r>
        <w:rPr>
          <w:color w:val="auto"/>
          <w:highlight w:val="none"/>
        </w:rPr>
        <w:t xml:space="preserve"> </w:t>
      </w:r>
      <w:r/>
    </w:p>
    <w:p>
      <w:pPr>
        <w:pStyle w:val="966"/>
        <w:ind w:right="180" w:firstLine="36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企业名称（加盖CA电子公章）：</w:t>
      </w:r>
      <w:r/>
    </w:p>
    <w:p>
      <w:pPr>
        <w:pStyle w:val="966"/>
        <w:ind w:right="480" w:firstLine="600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日  期：</w:t>
      </w:r>
      <w:r/>
    </w:p>
    <w:p>
      <w:pPr>
        <w:pStyle w:val="966"/>
        <w:ind w:firstLine="240"/>
        <w:jc w:val="both"/>
        <w:spacing w:beforeAutospacing="0" w:afterAutospacing="0" w:line="360" w:lineRule="auto"/>
        <w:rPr>
          <w:color w:val="auto"/>
          <w:highlight w:val="none"/>
        </w:rPr>
      </w:pPr>
      <w:r>
        <w:rPr>
          <w:color w:val="auto"/>
          <w:highlight w:val="none"/>
        </w:rPr>
        <w:t xml:space="preserve"> </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966"/>
        <w:jc w:val="center"/>
        <w:spacing w:beforeAutospacing="0" w:afterAutospacing="0" w:line="360" w:lineRule="auto"/>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i/>
          <w:color w:val="auto"/>
          <w:sz w:val="32"/>
          <w:szCs w:val="32"/>
          <w:highlight w:val="none"/>
          <w:u w:val="single"/>
        </w:rPr>
        <w:t xml:space="preserve">十、残疾人福利性单位声明函</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66"/>
        <w:ind w:firstLine="480"/>
        <w:jc w:val="both"/>
        <w:spacing w:beforeAutospacing="0" w:afterAutospacing="0" w:line="360" w:lineRule="auto"/>
        <w:rPr>
          <w:color w:val="auto"/>
          <w:highlight w:val="none"/>
        </w:rPr>
      </w:pPr>
      <w:r>
        <w:rPr>
          <w:color w:val="auto"/>
          <w:highlight w:val="none"/>
        </w:rPr>
        <w:t xml:space="preserve"> </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66"/>
        <w:ind w:firstLine="480"/>
        <w:jc w:val="both"/>
        <w:spacing w:beforeAutospacing="0" w:afterAutospacing="0" w:line="360" w:lineRule="auto"/>
        <w:rPr>
          <w:rFonts w:eastAsia="宋体"/>
          <w:color w:val="auto"/>
          <w:highlight w:val="none"/>
        </w:rPr>
      </w:pPr>
      <w:r>
        <w:rPr>
          <w:rFonts w:hint="eastAsia" w:ascii="宋体" w:hAnsi="宋体" w:eastAsia="宋体" w:cs="宋体"/>
          <w:color w:val="auto"/>
          <w:highlight w:val="none"/>
        </w:rPr>
        <w:t xml:space="preserve">1、供应商如不提供此声明函，价格将不做相应扣除（如项目全面面向中小企业，则资格审查不通过）。</w:t>
      </w:r>
      <w:r/>
    </w:p>
    <w:p>
      <w:pPr>
        <w:pStyle w:val="966"/>
        <w:ind w:firstLine="480"/>
        <w:jc w:val="both"/>
        <w:spacing w:beforeAutospacing="0" w:afterAutospacing="0" w:line="360" w:lineRule="auto"/>
        <w:rPr>
          <w:rFonts w:hint="eastAsia" w:eastAsia="宋体"/>
          <w:color w:val="auto"/>
          <w:highlight w:val="none"/>
          <w:lang w:eastAsia="zh-CN"/>
        </w:rPr>
      </w:pP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966"/>
        <w:ind w:firstLine="624"/>
        <w:jc w:val="both"/>
        <w:spacing w:beforeAutospacing="0" w:afterAutospacing="0" w:line="360" w:lineRule="auto"/>
        <w:rPr>
          <w:color w:val="auto"/>
          <w:highlight w:val="none"/>
        </w:rPr>
      </w:pPr>
      <w:r>
        <w:rPr>
          <w:color w:val="auto"/>
          <w:highlight w:val="none"/>
        </w:rPr>
        <w:t xml:space="preserve"> </w:t>
      </w:r>
      <w:r/>
    </w:p>
    <w:p>
      <w:pPr>
        <w:pStyle w:val="966"/>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66"/>
        <w:ind w:right="1560" w:firstLine="480"/>
        <w:jc w:val="center"/>
        <w:spacing w:beforeAutospacing="0" w:afterAutospacing="0" w:line="360" w:lineRule="auto"/>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color w:val="auto"/>
          <w:highlight w:val="none"/>
        </w:rPr>
      </w:pPr>
      <w:r>
        <w:rPr>
          <w:color w:val="auto"/>
          <w:highlight w:val="none"/>
        </w:rPr>
      </w:r>
      <w:r/>
    </w:p>
    <w:p>
      <w:pPr>
        <w:pStyle w:val="966"/>
        <w:jc w:val="center"/>
        <w:spacing w:beforeAutospacing="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      </w:t>
      </w:r>
      <w:r>
        <w:rPr>
          <w:rFonts w:hint="eastAsia" w:ascii="黑体" w:hAnsi="宋体" w:eastAsia="黑体" w:cs="黑体"/>
          <w:i/>
          <w:color w:val="auto"/>
          <w:sz w:val="32"/>
          <w:szCs w:val="32"/>
          <w:highlight w:val="none"/>
          <w:u w:val="single"/>
        </w:rPr>
        <w:t xml:space="preserve">十一、联合体协议（参考格式）</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本项目不接受联合体投标。</w:t>
      </w:r>
      <w:r/>
    </w:p>
    <w:p>
      <w:pPr>
        <w:pStyle w:val="966"/>
        <w:jc w:val="center"/>
        <w:spacing w:beforeAutospacing="0" w:afterAutospacing="0" w:line="360" w:lineRule="auto"/>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lang w:val="en-US" w:eastAsia="zh-CN"/>
        </w:rPr>
        <w:t xml:space="preserve">十二、</w:t>
      </w:r>
      <w:r>
        <w:rPr>
          <w:rFonts w:hint="eastAsia" w:ascii="黑体" w:hAnsi="宋体" w:eastAsia="黑体" w:cs="黑体"/>
          <w:i/>
          <w:color w:val="auto"/>
          <w:sz w:val="32"/>
          <w:szCs w:val="32"/>
          <w:highlight w:val="none"/>
          <w:u w:val="single"/>
        </w:rPr>
        <w:t xml:space="preserve">投标分项报价表</w:t>
      </w:r>
      <w:r/>
    </w:p>
    <w:p>
      <w:pPr>
        <w:spacing w:line="360" w:lineRule="auto"/>
        <w:rPr>
          <w:rFonts w:hint="eastAsia"/>
          <w:b/>
          <w:bCs/>
          <w:color w:val="auto"/>
          <w:sz w:val="24"/>
          <w:szCs w:val="21"/>
          <w:highlight w:val="none"/>
        </w:rPr>
      </w:pPr>
      <w:r>
        <w:rPr>
          <w:rFonts w:hint="eastAsia"/>
          <w:b/>
          <w:bCs/>
          <w:color w:val="auto"/>
          <w:sz w:val="24"/>
          <w:szCs w:val="21"/>
          <w:highlight w:val="none"/>
        </w:rPr>
      </w:r>
      <w:r/>
    </w:p>
    <w:tbl>
      <w:tblPr>
        <w:tblStyle w:val="957"/>
        <w:tblW w:w="485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25"/>
        <w:gridCol w:w="1466"/>
        <w:gridCol w:w="1350"/>
        <w:gridCol w:w="1122"/>
        <w:gridCol w:w="1353"/>
        <w:gridCol w:w="1080"/>
        <w:gridCol w:w="1110"/>
        <w:gridCol w:w="1169"/>
      </w:tblGrid>
      <w:tr>
        <w:trPr>
          <w:jc w:val="center"/>
          <w:trHeight w:val="941"/>
        </w:trPr>
        <w:tc>
          <w:tcPr>
            <w:tcW w:w="925" w:type="dxa"/>
            <w:vAlign w:val="center"/>
            <w:textDirection w:val="lrTb"/>
            <w:noWrap w:val="false"/>
          </w:tcPr>
          <w:p>
            <w:pPr>
              <w:ind w:left="0" w:right="0"/>
              <w:jc w:val="center"/>
              <w:keepLines w:val="0"/>
              <w:keepNext w:val="0"/>
              <w:spacing w:before="0" w:beforeAutospacing="0" w:after="0" w:afterAutospacing="0"/>
              <w:rPr>
                <w:rFonts w:hint="default" w:ascii="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rPr>
              <w:t xml:space="preserve">序号</w:t>
            </w:r>
            <w:r/>
          </w:p>
        </w:tc>
        <w:tc>
          <w:tcPr>
            <w:tcW w:w="1466" w:type="dxa"/>
            <w:vAlign w:val="center"/>
            <w:textDirection w:val="lrTb"/>
            <w:noWrap w:val="false"/>
          </w:tcPr>
          <w:p>
            <w:pPr>
              <w:ind w:left="0" w:right="0"/>
              <w:jc w:val="center"/>
              <w:keepLines w:val="0"/>
              <w:keepNext w:val="0"/>
              <w:spacing w:before="0" w:beforeAutospacing="0" w:after="0" w:afterAutospacing="0"/>
              <w:rPr>
                <w:rFonts w:hint="default" w:ascii="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rPr>
              <w:t xml:space="preserve">名称</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rPr>
              <w:t xml:space="preserve">技术</w:t>
            </w:r>
            <w:r/>
          </w:p>
          <w:p>
            <w:pPr>
              <w:ind w:left="0" w:right="0"/>
              <w:jc w:val="center"/>
              <w:keepLines w:val="0"/>
              <w:keepNext w:val="0"/>
              <w:spacing w:before="0" w:beforeAutospacing="0" w:after="0" w:afterAutospacing="0"/>
              <w:rPr>
                <w:rFonts w:hint="eastAsia" w:ascii="宋体" w:cs="宋体" w:eastAsiaTheme="minorEastAsia"/>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rPr>
              <w:t xml:space="preserve">要求</w:t>
            </w:r>
            <w:r/>
          </w:p>
        </w:tc>
        <w:tc>
          <w:tcPr>
            <w:shd w:val="clear" w:color="auto" w:fill="auto"/>
            <w:tcW w:w="1122" w:type="dxa"/>
            <w:vAlign w:val="center"/>
            <w:textDirection w:val="lrTb"/>
            <w:noWrap w:val="false"/>
          </w:tcPr>
          <w:p>
            <w:pPr>
              <w:ind w:left="0" w:right="0"/>
              <w:jc w:val="center"/>
              <w:keepLines w:val="0"/>
              <w:keepNext w:val="0"/>
              <w:spacing w:before="0" w:beforeAutospacing="0" w:after="0" w:afterAutospacing="0"/>
              <w:rPr>
                <w:rFonts w:hint="eastAsia" w:ascii="宋体" w:cs="宋体" w:hAnsiTheme="minorHAnsi" w:eastAsiaTheme="minorEastAsia"/>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rPr>
              <w:t xml:space="preserve">数量</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套</w:t>
            </w:r>
            <w:r>
              <w:rPr>
                <w:rFonts w:hint="eastAsia" w:ascii="宋体" w:hAnsi="宋体" w:cs="宋体"/>
                <w:b w:val="0"/>
                <w:bCs w:val="0"/>
                <w:color w:val="auto"/>
                <w:sz w:val="24"/>
                <w:szCs w:val="24"/>
                <w:highlight w:val="none"/>
                <w:lang w:eastAsia="zh-CN"/>
              </w:rPr>
              <w:t xml:space="preserve">）</w:t>
            </w:r>
            <w:r/>
          </w:p>
        </w:tc>
        <w:tc>
          <w:tcPr>
            <w:tcW w:w="1353" w:type="dxa"/>
            <w:vAlign w:val="center"/>
            <w:textDirection w:val="lrTb"/>
            <w:noWrap w:val="false"/>
          </w:tcPr>
          <w:p>
            <w:pPr>
              <w:ind w:left="0" w:right="0"/>
              <w:jc w:val="center"/>
              <w:keepLines w:val="0"/>
              <w:keepNext w:val="0"/>
              <w:spacing w:before="0" w:beforeAutospacing="0" w:after="0" w:afterAutospacing="0"/>
              <w:rPr>
                <w:rFonts w:hint="eastAsia" w:ascii="宋体" w:cs="宋体" w:eastAsiaTheme="minorEastAsia"/>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rPr>
              <w:t xml:space="preserve">单价</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元/套</w:t>
            </w:r>
            <w:r>
              <w:rPr>
                <w:rFonts w:hint="eastAsia" w:ascii="宋体" w:hAnsi="宋体" w:cs="宋体"/>
                <w:b w:val="0"/>
                <w:bCs w:val="0"/>
                <w:color w:val="auto"/>
                <w:sz w:val="24"/>
                <w:szCs w:val="24"/>
                <w:highlight w:val="none"/>
                <w:lang w:eastAsia="zh-CN"/>
              </w:rPr>
              <w:t xml:space="preserve">）</w:t>
            </w:r>
            <w:r/>
          </w:p>
        </w:tc>
        <w:tc>
          <w:tcPr>
            <w:tcW w:w="1080" w:type="dxa"/>
            <w:vAlign w:val="center"/>
            <w:textDirection w:val="lrTb"/>
            <w:noWrap w:val="false"/>
          </w:tcPr>
          <w:p>
            <w:pPr>
              <w:ind w:left="0" w:right="0"/>
              <w:jc w:val="center"/>
              <w:keepLines w:val="0"/>
              <w:keepNext w:val="0"/>
              <w:spacing w:before="0" w:beforeAutospacing="0" w:after="0" w:afterAutospacing="0"/>
              <w:rPr>
                <w:rFonts w:hint="eastAsia" w:ascii="宋体" w:cs="宋体" w:eastAsiaTheme="minorEastAsia"/>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rPr>
              <w:t xml:space="preserve">合价</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元</w:t>
            </w:r>
            <w:r>
              <w:rPr>
                <w:rFonts w:hint="eastAsia" w:ascii="宋体" w:hAnsi="宋体" w:cs="宋体"/>
                <w:b w:val="0"/>
                <w:bCs w:val="0"/>
                <w:color w:val="auto"/>
                <w:sz w:val="24"/>
                <w:szCs w:val="24"/>
                <w:highlight w:val="none"/>
                <w:lang w:eastAsia="zh-CN"/>
              </w:rPr>
              <w:t xml:space="preserve">）</w:t>
            </w:r>
            <w:r/>
          </w:p>
        </w:tc>
        <w:tc>
          <w:tcPr>
            <w:tcW w:w="111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所投产品品牌及型号</w:t>
            </w:r>
            <w:r/>
          </w:p>
          <w:p>
            <w:pPr>
              <w:ind w:left="0" w:right="0"/>
              <w:jc w:val="center"/>
              <w:keepLines w:val="0"/>
              <w:keepNext w:val="0"/>
              <w:spacing w:before="0" w:beforeAutospacing="0" w:after="0" w:afterAutospacing="0"/>
              <w:rPr>
                <w:rFonts w:hint="default" w:ascii="宋体" w:cs="宋体"/>
                <w:b w:val="0"/>
                <w:bCs w:val="0"/>
                <w:color w:val="auto"/>
                <w:sz w:val="24"/>
                <w:szCs w:val="24"/>
                <w:highlight w:val="none"/>
              </w:rPr>
              <w:suppressLineNumbers w:val="0"/>
            </w:pPr>
            <w:r>
              <w:rPr>
                <w:rFonts w:hint="default" w:ascii="宋体" w:cs="宋体"/>
                <w:b w:val="0"/>
                <w:bCs w:val="0"/>
                <w:color w:val="auto"/>
                <w:sz w:val="24"/>
                <w:szCs w:val="24"/>
                <w:highlight w:val="none"/>
              </w:rPr>
            </w:r>
            <w:r/>
          </w:p>
        </w:tc>
        <w:tc>
          <w:tcPr>
            <w:tcW w:w="116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eastAsiaTheme="minorEastAsia"/>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备注</w:t>
            </w:r>
            <w:r/>
          </w:p>
        </w:tc>
      </w:tr>
      <w:tr>
        <w:trPr>
          <w:jc w:val="center"/>
          <w:trHeight w:val="987"/>
        </w:trPr>
        <w:tc>
          <w:tcPr>
            <w:tcW w:w="9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1</w:t>
            </w:r>
            <w:r/>
          </w:p>
        </w:tc>
        <w:tc>
          <w:tcP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c>
          <w:tcPr>
            <w:tcW w:w="135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18"/>
                <w:szCs w:val="18"/>
                <w:highlight w:val="none"/>
                <w:lang w:val="en-US" w:eastAsia="zh-CN" w:bidi="th-TH"/>
              </w:rPr>
              <w:suppressLineNumbers w:val="0"/>
            </w:pPr>
            <w:r>
              <w:rPr>
                <w:rFonts w:hint="eastAsia" w:ascii="宋体" w:hAnsi="宋体" w:cs="宋体"/>
                <w:b w:val="0"/>
                <w:bCs w:val="0"/>
                <w:color w:val="auto"/>
                <w:sz w:val="24"/>
                <w:szCs w:val="24"/>
                <w:highlight w:val="none"/>
                <w:lang w:val="en-US" w:eastAsia="zh-CN"/>
              </w:rPr>
              <w:t xml:space="preserve">详见“第四章 采购需求”</w:t>
            </w:r>
            <w:r/>
          </w:p>
        </w:tc>
        <w:tc>
          <w:tcPr>
            <w:shd w:val="clear" w:color="auto" w:fill="auto"/>
            <w:tcW w:w="112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c>
          <w:tcPr>
            <w:tcW w:w="135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0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11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1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r>
      <w:tr>
        <w:trPr>
          <w:jc w:val="center"/>
          <w:trHeight w:val="892"/>
        </w:trPr>
        <w:tc>
          <w:tcPr>
            <w:tcW w:w="9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2</w:t>
            </w:r>
            <w:r/>
          </w:p>
        </w:tc>
        <w:tc>
          <w:tcPr>
            <w:tcW w:w="146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val="0"/>
                <w:bCs w:val="0"/>
                <w:color w:val="auto"/>
                <w:sz w:val="24"/>
                <w:szCs w:val="24"/>
                <w:highlight w:val="none"/>
                <w:lang w:val="en-US" w:eastAsia="zh-CN"/>
              </w:rPr>
              <w:suppressLineNumbers w:val="0"/>
            </w:pPr>
            <w:r>
              <w:rPr>
                <w:rFonts w:hint="eastAsia" w:ascii="宋体" w:hAnsi="宋体" w:eastAsia="宋体" w:cs="宋体"/>
                <w:color w:val="auto"/>
                <w:highlight w:val="none"/>
              </w:rPr>
              <w:t xml:space="preserve">……</w:t>
            </w:r>
            <w:r/>
          </w:p>
        </w:tc>
        <w:tc>
          <w:tcPr>
            <w:tcW w:w="1350" w:type="dxa"/>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val="en-US" w:eastAsia="zh-CN" w:bidi="th-TH"/>
              </w:rPr>
              <w:suppressLineNumbers w:val="0"/>
            </w:pPr>
            <w:r>
              <w:rPr>
                <w:rFonts w:hint="eastAsia" w:ascii="宋体" w:hAnsi="宋体" w:eastAsia="宋体" w:cs="宋体"/>
                <w:color w:val="auto"/>
                <w:sz w:val="18"/>
                <w:szCs w:val="18"/>
                <w:highlight w:val="none"/>
                <w:lang w:val="en-US" w:eastAsia="zh-CN" w:bidi="th-TH"/>
              </w:rPr>
            </w:r>
            <w:r/>
          </w:p>
        </w:tc>
        <w:tc>
          <w:tcPr>
            <w:shd w:val="clear" w:color="auto" w:fill="auto"/>
            <w:tcW w:w="112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c>
          <w:tcPr>
            <w:tcW w:w="135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0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11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c>
          <w:tcPr>
            <w:tcW w:w="116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18"/>
                <w:szCs w:val="18"/>
                <w:highlight w:val="none"/>
                <w:lang w:bidi="th-TH"/>
              </w:rPr>
              <w:suppressLineNumbers w:val="0"/>
            </w:pPr>
            <w:r>
              <w:rPr>
                <w:rFonts w:hint="eastAsia" w:ascii="宋体" w:hAnsi="宋体" w:eastAsia="宋体" w:cs="宋体"/>
                <w:color w:val="auto"/>
                <w:sz w:val="18"/>
                <w:szCs w:val="18"/>
                <w:highlight w:val="none"/>
                <w:lang w:bidi="th-TH"/>
              </w:rPr>
            </w:r>
            <w:r/>
          </w:p>
        </w:tc>
      </w:tr>
      <w:tr>
        <w:trPr>
          <w:jc w:val="center"/>
          <w:trHeight w:val="1362"/>
        </w:trPr>
        <w:tc>
          <w:tcPr>
            <w:tcW w:w="9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r>
            <w:r/>
          </w:p>
        </w:tc>
        <w:tc>
          <w:tcPr>
            <w:tcW w:w="146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总价（元）</w:t>
            </w:r>
            <w:r/>
          </w:p>
        </w:tc>
        <w:tc>
          <w:tcPr>
            <w:gridSpan w:val="6"/>
            <w:tcW w:w="71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18"/>
                <w:szCs w:val="18"/>
                <w:highlight w:val="none"/>
                <w:u w:val="single"/>
                <w:lang w:val="en-US" w:eastAsia="zh-CN" w:bidi="th-TH"/>
              </w:rPr>
              <w:suppressLineNumbers w:val="0"/>
            </w:pPr>
            <w:r>
              <w:rPr>
                <w:rFonts w:hint="eastAsia" w:ascii="宋体" w:hAnsi="宋体" w:cs="宋体"/>
                <w:b/>
                <w:bCs/>
                <w:color w:val="auto"/>
                <w:sz w:val="24"/>
                <w:szCs w:val="24"/>
                <w:highlight w:val="none"/>
                <w:lang w:val="en-US" w:eastAsia="zh-CN"/>
              </w:rPr>
              <w:t xml:space="preserve">大写</w:t>
            </w:r>
            <w:r>
              <w:rPr>
                <w:rFonts w:hint="eastAsia" w:ascii="宋体" w:hAnsi="宋体" w:cs="宋体"/>
                <w:b w:val="0"/>
                <w:bCs w:val="0"/>
                <w:color w:val="auto"/>
                <w:sz w:val="24"/>
                <w:szCs w:val="24"/>
                <w:highlight w:val="none"/>
                <w:lang w:val="en-US" w:eastAsia="zh-CN"/>
              </w:rPr>
              <w:t xml:space="preserve">：人民币</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小写</w:t>
            </w:r>
            <w:r>
              <w:rPr>
                <w:rFonts w:hint="eastAsia" w:ascii="宋体" w:hAnsi="宋体" w:cs="宋体"/>
                <w:b w:val="0"/>
                <w:bCs w:val="0"/>
                <w:color w:val="auto"/>
                <w:sz w:val="24"/>
                <w:szCs w:val="24"/>
                <w:highlight w:val="none"/>
                <w:u w:val="single"/>
                <w:lang w:val="en-US" w:eastAsia="zh-CN"/>
              </w:rPr>
              <w:t xml:space="preserve">￥：        ）</w:t>
            </w:r>
            <w:r/>
          </w:p>
        </w:tc>
      </w:tr>
    </w:tbl>
    <w:p>
      <w:pPr>
        <w:spacing w:line="360" w:lineRule="auto"/>
        <w:rPr>
          <w:rFonts w:hint="eastAsia"/>
          <w:b/>
          <w:bCs/>
          <w:color w:val="auto"/>
          <w:sz w:val="24"/>
          <w:szCs w:val="21"/>
          <w:highlight w:val="none"/>
        </w:rPr>
      </w:pPr>
      <w:r>
        <w:rPr>
          <w:rFonts w:hint="eastAsia"/>
          <w:b/>
          <w:bCs/>
          <w:color w:val="auto"/>
          <w:sz w:val="24"/>
          <w:szCs w:val="21"/>
          <w:highlight w:val="none"/>
        </w:rPr>
      </w:r>
      <w:r/>
    </w:p>
    <w:p>
      <w:pPr>
        <w:pStyle w:val="9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66"/>
        <w:ind w:firstLine="480"/>
        <w:jc w:val="both"/>
        <w:keepLines w:val="0"/>
        <w:keepNext w:val="0"/>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1.投标报价采用总承包方式，“投标总报价”应包括所投货物（包含与货物相关的服务）费用、安装调试费、测试验收费、运行维护费用、税金、</w:t>
      </w:r>
      <w:r>
        <w:rPr>
          <w:rFonts w:hint="eastAsia" w:ascii="宋体" w:hAnsi="宋体" w:eastAsia="宋体" w:cs="宋体"/>
          <w:color w:val="auto"/>
          <w:highlight w:val="none"/>
          <w:lang w:val="en-US" w:eastAsia="zh-CN"/>
        </w:rPr>
        <w:t xml:space="preserve">招标代理费、</w:t>
      </w:r>
      <w:r>
        <w:rPr>
          <w:rFonts w:hint="eastAsia" w:ascii="宋体" w:hAnsi="宋体" w:eastAsia="宋体" w:cs="宋体"/>
          <w:color w:val="auto"/>
          <w:highlight w:val="none"/>
        </w:rPr>
        <w:t xml:space="preserve">国际国内运输保险、报关清关、开证、办理全套免税手续费用及其他有关的为完成本项目发生的所有费用，招标文件中另有规定的除外。</w:t>
      </w:r>
      <w:r/>
    </w:p>
    <w:p>
      <w:pPr>
        <w:pStyle w:val="966"/>
        <w:ind w:firstLine="480"/>
        <w:jc w:val="both"/>
        <w:keepLines w:val="0"/>
        <w:keepNext w:val="0"/>
        <w:pageBreakBefore w:val="0"/>
        <w:spacing w:beforeAutospacing="0" w:afterAutospacing="0"/>
        <w:widowControl w:val="off"/>
        <w:rPr>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pStyle w:val="966"/>
        <w:jc w:val="both"/>
        <w:spacing w:beforeAutospacing="0" w:afterAutospacing="0"/>
        <w:rPr>
          <w:color w:val="auto"/>
          <w:highlight w:val="none"/>
          <w:shd w:val="clear" w:color="auto" w:fill="auto"/>
        </w:rPr>
      </w:pPr>
      <w:r>
        <w:rPr>
          <w:color w:val="auto"/>
          <w:highlight w:val="none"/>
          <w:shd w:val="clear" w:color="auto" w:fill="auto"/>
        </w:rPr>
      </w:r>
      <w:r/>
    </w:p>
    <w:p>
      <w:pPr>
        <w:pStyle w:val="966"/>
        <w:jc w:val="both"/>
        <w:spacing w:beforeAutospacing="0" w:afterAutospacing="0"/>
        <w:rPr>
          <w:rFonts w:hint="eastAsia"/>
          <w:b/>
          <w:bCs/>
          <w:color w:val="auto"/>
          <w:sz w:val="24"/>
          <w:szCs w:val="21"/>
          <w:highlight w:val="none"/>
        </w:rPr>
      </w:pPr>
      <w:r>
        <w:rPr>
          <w:color w:val="auto"/>
          <w:highlight w:val="none"/>
          <w:shd w:val="clear" w:color="auto" w:fill="auto"/>
        </w:rPr>
        <w:t xml:space="preserve"> </w:t>
      </w:r>
      <w:r>
        <w:rPr>
          <w:rFonts w:hint="eastAsia"/>
          <w:color w:val="auto"/>
          <w:highlight w:val="none"/>
          <w:shd w:val="clear" w:color="auto" w:fill="auto"/>
          <w:lang w:val="en-US" w:eastAsia="zh-CN"/>
        </w:rPr>
        <w:t xml:space="preserve">                                           </w:t>
      </w:r>
      <w:r/>
    </w:p>
    <w:p>
      <w:pPr>
        <w:jc w:val="both"/>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加盖CA电子公章</w:t>
      </w:r>
      <w:r>
        <w:rPr>
          <w:rFonts w:hint="eastAsia" w:ascii="宋体" w:hAnsi="宋体"/>
          <w:color w:val="auto"/>
          <w:sz w:val="24"/>
          <w:highlight w:val="none"/>
        </w:rPr>
        <w:t xml:space="preserve">）：</w:t>
      </w:r>
      <w:r/>
    </w:p>
    <w:p>
      <w:pPr>
        <w:ind w:firstLine="5760"/>
        <w:jc w:val="both"/>
        <w:spacing w:line="360" w:lineRule="auto"/>
        <w:rPr>
          <w:rFonts w:hint="eastAsia" w:ascii="宋体" w:hAnsi="宋体" w:cs="宋体"/>
          <w:b/>
          <w:color w:val="auto"/>
          <w:sz w:val="30"/>
          <w:szCs w:val="30"/>
          <w:highlight w:val="none"/>
        </w:rPr>
      </w:pPr>
      <w:r>
        <w:rPr>
          <w:rFonts w:hint="eastAsia" w:ascii="宋体" w:hAnsi="宋体"/>
          <w:color w:val="auto"/>
          <w:sz w:val="24"/>
          <w:highlight w:val="none"/>
        </w:rPr>
        <w:t xml:space="preserve">日期：   年   月    日</w:t>
      </w:r>
      <w:r/>
    </w:p>
    <w:p>
      <w:pPr>
        <w:pStyle w:val="966"/>
        <w:jc w:val="center"/>
        <w:spacing w:beforeAutospacing="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66"/>
        <w:jc w:val="center"/>
        <w:spacing w:beforeAutospacing="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66"/>
        <w:jc w:val="center"/>
        <w:spacing w:beforeAutospacing="0" w:afterAutospacing="0" w:line="360" w:lineRule="auto"/>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66"/>
        <w:jc w:val="center"/>
        <w:spacing w:beforeAutospacing="0" w:afterAutospacing="0" w:line="360" w:lineRule="auto"/>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966"/>
        <w:jc w:val="center"/>
        <w:spacing w:beforeAutospacing="0" w:afterAutospacing="0" w:line="360" w:lineRule="auto"/>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p>
    <w:p>
      <w:pPr>
        <w:pStyle w:val="966"/>
        <w:jc w:val="center"/>
        <w:spacing w:beforeAutospacing="0" w:afterAutospacing="0" w:line="360" w:lineRule="auto"/>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 xml:space="preserve">十三、技术要求响应及偏离表</w:t>
      </w:r>
      <w:r/>
    </w:p>
    <w:tbl>
      <w:tblPr>
        <w:tblStyle w:val="95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7"/>
        <w:gridCol w:w="2787"/>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证明</w:t>
            </w:r>
            <w:r/>
          </w:p>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bl>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 行数不够，可自行添加。</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r>
      <w:r/>
    </w:p>
    <w:p>
      <w:pPr>
        <w:pStyle w:val="966"/>
        <w:jc w:val="both"/>
        <w:spacing w:beforeAutospacing="0" w:afterAutospacing="0" w:line="360" w:lineRule="auto"/>
        <w:rPr>
          <w:color w:val="auto"/>
          <w:highlight w:val="none"/>
        </w:rPr>
      </w:pPr>
      <w:r>
        <w:rPr>
          <w:color w:val="auto"/>
          <w:highlight w:val="none"/>
        </w:rPr>
      </w:r>
      <w:r/>
    </w:p>
    <w:p>
      <w:pPr>
        <w:pStyle w:val="966"/>
        <w:jc w:val="both"/>
        <w:spacing w:beforeAutospacing="0" w:afterAutospacing="0" w:line="360" w:lineRule="auto"/>
        <w:rPr>
          <w:color w:val="auto"/>
          <w:highlight w:val="none"/>
        </w:rPr>
      </w:pPr>
      <w:r>
        <w:rPr>
          <w:color w:val="auto"/>
          <w:highlight w:val="none"/>
        </w:rPr>
      </w:r>
      <w:r/>
    </w:p>
    <w:p>
      <w:pPr>
        <w:pStyle w:val="966"/>
        <w:jc w:val="both"/>
        <w:spacing w:beforeAutospacing="0" w:afterAutospacing="0" w:line="360" w:lineRule="auto"/>
        <w:rPr>
          <w:color w:val="auto"/>
          <w:highlight w:val="none"/>
        </w:rPr>
      </w:pPr>
      <w:r>
        <w:rPr>
          <w:color w:val="auto"/>
          <w:highlight w:val="none"/>
        </w:rPr>
      </w:r>
      <w:r/>
    </w:p>
    <w:p>
      <w:pPr>
        <w:pStyle w:val="966"/>
        <w:jc w:val="both"/>
        <w:spacing w:beforeAutospacing="0" w:afterAutospacing="0" w:line="360" w:lineRule="auto"/>
        <w:rPr>
          <w:color w:val="auto"/>
          <w:highlight w:val="none"/>
        </w:rPr>
      </w:pPr>
      <w:r>
        <w:rPr>
          <w:color w:val="auto"/>
          <w:highlight w:val="none"/>
        </w:rPr>
      </w:r>
      <w:r/>
    </w:p>
    <w:p>
      <w:pPr>
        <w:pStyle w:val="966"/>
        <w:jc w:val="both"/>
        <w:spacing w:beforeAutospacing="0" w:afterAutospacing="0" w:line="360" w:lineRule="auto"/>
        <w:rPr>
          <w:color w:val="auto"/>
          <w:highlight w:val="none"/>
        </w:rPr>
      </w:pPr>
      <w:r>
        <w:rPr>
          <w:color w:val="auto"/>
          <w:highlight w:val="none"/>
        </w:rPr>
      </w:r>
      <w:r/>
    </w:p>
    <w:p>
      <w:pPr>
        <w:rPr>
          <w:rFonts w:hint="eastAsia" w:ascii="黑体" w:hAnsi="宋体" w:eastAsia="黑体" w:cs="黑体"/>
          <w:b/>
          <w:color w:val="auto"/>
          <w:sz w:val="32"/>
          <w:szCs w:val="32"/>
          <w:highlight w:val="none"/>
        </w:rPr>
      </w:pPr>
      <w:r/>
      <w:bookmarkStart w:id="190" w:name="_Hlt26955054"/>
      <w:r>
        <w:rPr>
          <w:rFonts w:hint="eastAsia" w:ascii="黑体" w:hAnsi="宋体" w:eastAsia="黑体" w:cs="黑体"/>
          <w:b/>
          <w:color w:val="auto"/>
          <w:sz w:val="32"/>
          <w:szCs w:val="32"/>
          <w:highlight w:val="none"/>
        </w:rPr>
        <w:br w:type="page" w:clear="all"/>
      </w:r>
      <w:r/>
    </w:p>
    <w:p>
      <w:pPr>
        <w:pStyle w:val="966"/>
        <w:jc w:val="center"/>
        <w:spacing w:beforeAutospacing="0" w:afterAutospacing="0" w:line="360" w:lineRule="auto"/>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 xml:space="preserve">十四、商务要求响应及偏离表</w:t>
      </w:r>
      <w:r/>
    </w:p>
    <w:tbl>
      <w:tblPr>
        <w:tblStyle w:val="95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8"/>
        <w:gridCol w:w="2302"/>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bookmarkStart w:id="191" w:name="_Hlt24879081"/>
            <w:r/>
            <w:bookmarkStart w:id="192" w:name="_Hlt26671372"/>
            <w:r/>
            <w:bookmarkStart w:id="193" w:name="_Hlt26955064"/>
            <w:r/>
            <w:bookmarkStart w:id="194" w:name="_Hlt26782999"/>
            <w:r/>
            <w:bookmarkStart w:id="195" w:name="_Hlt26955056"/>
            <w:r/>
            <w:bookmarkStart w:id="196" w:name="_Hlt26671343"/>
            <w:r/>
            <w:bookmarkStart w:id="197" w:name="_Hlt26580838"/>
            <w:r/>
            <w:bookmarkStart w:id="198" w:name="_Hlt26609391"/>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证明</w:t>
            </w:r>
            <w:r/>
          </w:p>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02"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default"/>
                <w:color w:val="auto"/>
                <w:highlight w:val="none"/>
              </w:rPr>
              <w:t xml:space="preserve"> </w:t>
            </w:r>
            <w:r/>
          </w:p>
        </w:tc>
      </w:tr>
    </w:tbl>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注： 行数不够，可自行添加。</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center"/>
        <w:spacing w:beforeAutospacing="0" w:afterAutospacing="0" w:line="360" w:lineRule="auto"/>
        <w:rPr>
          <w:color w:val="auto"/>
          <w:highlight w:val="none"/>
        </w:rPr>
      </w:pPr>
      <w:r/>
      <w:bookmarkStart w:id="199" w:name="_Hlt26955066"/>
      <w:r/>
      <w:bookmarkStart w:id="200" w:name="_Hlt26671374"/>
      <w:r/>
      <w:bookmarkStart w:id="201" w:name="_Toc462564146"/>
      <w:r/>
      <w:bookmarkStart w:id="202" w:name="_Hlt26609389"/>
      <w:r/>
      <w:bookmarkStart w:id="203" w:name="_格式2__法定代表人授权书"/>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t xml:space="preserve"> </w:t>
      </w:r>
      <w:r/>
    </w:p>
    <w:p>
      <w:pPr>
        <w:pStyle w:val="966"/>
        <w:jc w:val="both"/>
        <w:spacing w:beforeAutospacing="0" w:afterAutospacing="0" w:line="360" w:lineRule="auto"/>
        <w:rPr>
          <w:color w:val="auto"/>
          <w:highlight w:val="none"/>
        </w:rPr>
      </w:pPr>
      <w:r>
        <w:rPr>
          <w:color w:val="auto"/>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966"/>
        <w:jc w:val="center"/>
        <w:spacing w:beforeAutospacing="0" w:afterAutospacing="0" w:line="360" w:lineRule="auto"/>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 xml:space="preserve">十五、开标一览表</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96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分包号：</w:t>
      </w:r>
      <w:r/>
    </w:p>
    <w:tbl>
      <w:tblPr>
        <w:tblStyle w:val="95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66"/>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66"/>
              <w:ind w:left="0" w:right="0"/>
              <w:keepLines w:val="0"/>
              <w:keepNext w:val="0"/>
              <w:spacing w:before="0" w:beforeAutospacing="0" w:after="0" w:afterAutospacing="0" w:line="36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66"/>
              <w:ind w:left="0" w:right="0"/>
              <w:keepLines w:val="0"/>
              <w:keepNext w:val="0"/>
              <w:spacing w:before="0" w:beforeAutospacing="0" w:after="0" w:afterAutospacing="0" w:line="360" w:lineRule="auto"/>
              <w:rPr>
                <w:rFonts w:hint="default"/>
                <w:color w:val="auto"/>
                <w:highlight w:val="none"/>
              </w:rPr>
              <w:suppressLineNumbers w:val="0"/>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ffffff" w:fill="ffffff"/>
            <w:tcBorders>
              <w:top w:val="single" w:color="000000" w:sz="4" w:space="0"/>
              <w:left w:val="single" w:color="000000" w:sz="4" w:space="0"/>
              <w:bottom w:val="single" w:color="000000" w:sz="4" w:space="0"/>
              <w:right w:val="single" w:color="000000" w:sz="4" w:space="0"/>
            </w:tcBorders>
            <w:tcW w:w="8206" w:type="dxa"/>
            <w:vAlign w:val="center"/>
            <w:vMerge w:val="restart"/>
            <w:textDirection w:val="lrTb"/>
            <w:noWrap w:val="false"/>
          </w:tcPr>
          <w:p>
            <w:pPr>
              <w:pStyle w:val="966"/>
              <w:ind w:left="0" w:right="0"/>
              <w:keepLines w:val="0"/>
              <w:keepNext w:val="0"/>
              <w:spacing w:before="0" w:beforeAutospacing="0" w:after="0" w:afterAutospacing="0" w:line="360" w:lineRule="auto"/>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质保期:</w:t>
            </w:r>
            <w:r>
              <w:rPr>
                <w:rFonts w:hint="eastAsia" w:ascii="宋体" w:hAnsi="宋体" w:eastAsia="宋体" w:cs="宋体"/>
                <w:color w:val="auto"/>
                <w:highlight w:val="none"/>
              </w:rPr>
            </w:r>
            <w:r/>
          </w:p>
        </w:tc>
      </w:tr>
    </w:tbl>
    <w:p>
      <w:pPr>
        <w:pStyle w:val="966"/>
        <w:jc w:val="both"/>
        <w:spacing w:beforeAutospacing="0" w:afterAutospacing="0" w:line="360" w:lineRule="auto"/>
        <w:rPr>
          <w:color w:val="auto"/>
          <w:highlight w:val="none"/>
        </w:rPr>
      </w:pPr>
      <w:r>
        <w:rPr>
          <w:color w:val="auto"/>
          <w:highlight w:val="none"/>
        </w:rPr>
        <w:t xml:space="preserve"> </w:t>
      </w:r>
      <w:r/>
    </w:p>
    <w:p>
      <w:pPr>
        <w:pStyle w:val="96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before="50" w:after="50" w:line="360" w:lineRule="auto"/>
        <w:widowControl/>
        <w:rPr>
          <w:color w:val="auto"/>
          <w:highlight w:val="none"/>
        </w:rPr>
      </w:pPr>
      <w:r>
        <w:rPr>
          <w:color w:val="auto"/>
          <w:highlight w:val="none"/>
        </w:rPr>
        <w:tab/>
      </w:r>
      <w:r/>
    </w:p>
    <w:p>
      <w:pPr>
        <w:spacing w:before="50" w:after="50" w:line="360" w:lineRule="auto"/>
        <w:widowControl/>
        <w:rPr>
          <w:color w:val="auto"/>
          <w:highlight w:val="none"/>
        </w:rPr>
      </w:pPr>
      <w:r>
        <w:rPr>
          <w:color w:val="auto"/>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66"/>
        <w:jc w:val="center"/>
        <w:spacing w:beforeAutospacing="0" w:afterAutospacing="0" w:line="360" w:lineRule="auto"/>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 xml:space="preserve">十六、根据招标文件“第五章 评标方法与评标标准”的要求需要提供的材料及投标人认为有必要提供的其他材料</w:t>
      </w:r>
      <w:r/>
    </w:p>
    <w:p>
      <w:pPr>
        <w:pStyle w:val="966"/>
        <w:jc w:val="both"/>
        <w:spacing w:beforeAutospacing="0" w:afterAutospacing="0" w:line="360" w:lineRule="auto"/>
        <w:tabs>
          <w:tab w:val="left" w:pos="2160" w:leader="none"/>
        </w:tabs>
        <w:rPr>
          <w:color w:val="auto"/>
          <w:highlight w:val="none"/>
        </w:rPr>
      </w:pPr>
      <w:r>
        <w:rPr>
          <w:color w:val="auto"/>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66"/>
        <w:jc w:val="center"/>
        <w:spacing w:beforeAutospacing="0" w:afterAutospacing="0" w:line="360" w:lineRule="auto"/>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t xml:space="preserve">十七、盐城市大丰区政府招标采购供应商承诺书</w:t>
      </w:r>
      <w:r/>
    </w:p>
    <w:p>
      <w:pPr>
        <w:ind w:firstLine="6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w:t>
      </w:r>
      <w:r>
        <w:rPr>
          <w:rFonts w:hint="eastAsia" w:ascii="宋体" w:hAnsi="宋体" w:eastAsia="宋体" w:cs="宋体"/>
          <w:color w:val="auto"/>
          <w:sz w:val="24"/>
          <w:highlight w:val="none"/>
          <w:lang w:val="en-US" w:eastAsia="zh-CN"/>
        </w:rPr>
        <w:t xml:space="preserve">字或盖章</w:t>
      </w:r>
      <w:r>
        <w:rPr>
          <w:rFonts w:hint="eastAsia" w:ascii="宋体" w:hAnsi="宋体" w:eastAsia="宋体" w:cs="宋体"/>
          <w:color w:val="auto"/>
          <w:sz w:val="24"/>
          <w:highlight w:val="none"/>
        </w:rPr>
        <w:t xml:space="preserve">：</w:t>
      </w:r>
      <w:r/>
    </w:p>
    <w:p>
      <w:pPr>
        <w:jc w:val="center"/>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966"/>
        <w:jc w:val="center"/>
        <w:spacing w:beforeAutospacing="0" w:afterAutospacing="0" w:line="360" w:lineRule="auto"/>
        <w:rPr>
          <w:color w:val="auto"/>
          <w:highlight w:val="none"/>
        </w:rPr>
      </w:pPr>
      <w:r>
        <w:rPr>
          <w:color w:val="auto"/>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spacing w:line="360" w:lineRule="auto"/>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66"/>
        <w:jc w:val="center"/>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66"/>
        <w:jc w:val="both"/>
        <w:keepLines w:val="0"/>
        <w:keepNext w:val="0"/>
        <w:pageBreakBefore w:val="0"/>
        <w:spacing w:before="290"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66"/>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66"/>
        <w:jc w:val="both"/>
        <w:keepLines w:val="0"/>
        <w:keepNext w:val="0"/>
        <w:pageBreakBefore w:val="0"/>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66"/>
        <w:ind w:firstLine="480"/>
        <w:keepLines w:val="0"/>
        <w:keepNext w:val="0"/>
        <w:pageBreakBefore w:val="0"/>
        <w:spacing w:beforeAutospacing="0" w:afterAutospacing="0"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66"/>
        <w:ind w:firstLine="480"/>
        <w:keepLines w:val="0"/>
        <w:keepNext w:val="0"/>
        <w:pageBreakBefore w:val="0"/>
        <w:spacing w:beforeAutospacing="0" w:afterAutospacing="0"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66"/>
        <w:ind w:firstLine="480"/>
        <w:keepLines w:val="0"/>
        <w:keepNext w:val="0"/>
        <w:pageBreakBefore w:val="0"/>
        <w:spacing w:beforeAutospacing="0" w:afterAutospacing="0"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66"/>
        <w:ind w:firstLine="480"/>
        <w:keepLines w:val="0"/>
        <w:keepNext w:val="0"/>
        <w:pageBreakBefore w:val="0"/>
        <w:spacing w:beforeAutospacing="0" w:afterAutospacing="0"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66"/>
        <w:ind w:firstLine="480"/>
        <w:keepLines w:val="0"/>
        <w:keepNext w:val="0"/>
        <w:pageBreakBefore w:val="0"/>
        <w:spacing w:beforeAutospacing="0" w:afterAutospacing="0"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66"/>
        <w:ind w:firstLine="480"/>
        <w:keepLines w:val="0"/>
        <w:keepNext w:val="0"/>
        <w:pageBreakBefore w:val="0"/>
        <w:spacing w:beforeAutospacing="0" w:afterAutospacing="0" w:line="288" w:lineRule="auto"/>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lear" w:pos="4153" w:leader="none"/>
        <w:tab w:val="left" w:pos="541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5932" cy="139526"/>
              <wp:effectExtent l="3175" t="3175" r="3175" b="3175"/>
              <wp:wrapNone/>
              <wp:docPr id="4" name="文本框 9"/>
              <wp:cNvGraphicFramePr/>
              <a:graphic xmlns:a="http://schemas.openxmlformats.org/drawingml/2006/main">
                <a:graphicData uri="http://schemas.microsoft.com/office/word/2010/wordprocessingShape">
                  <wps:wsp>
                    <wps:cNvPr id="0" name=""/>
                    <wps:cNvSpPr txBox="1"/>
                    <wps:spPr bwMode="auto">
                      <a:xfrm flipH="0" flipV="0">
                        <a:off x="0" y="0"/>
                        <a:ext cx="285931"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2.5pt;height:11.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2"/>
    <w:next w:val="952"/>
    <w:link w:val="782"/>
    <w:uiPriority w:val="9"/>
    <w:qFormat/>
    <w:pPr>
      <w:keepLines/>
      <w:keepNext/>
      <w:spacing w:before="480" w:after="200"/>
      <w:outlineLvl w:val="0"/>
    </w:pPr>
    <w:rPr>
      <w:rFonts w:ascii="Arial" w:hAnsi="Arial" w:eastAsia="Arial" w:cs="Arial"/>
      <w:sz w:val="40"/>
      <w:szCs w:val="40"/>
    </w:rPr>
  </w:style>
  <w:style w:type="character" w:styleId="782">
    <w:name w:val="Heading 1 Char"/>
    <w:basedOn w:val="956"/>
    <w:link w:val="781"/>
    <w:uiPriority w:val="9"/>
    <w:rPr>
      <w:rFonts w:ascii="Arial" w:hAnsi="Arial" w:eastAsia="Arial" w:cs="Arial"/>
      <w:sz w:val="40"/>
      <w:szCs w:val="40"/>
    </w:rPr>
  </w:style>
  <w:style w:type="character" w:styleId="783">
    <w:name w:val="Heading 2 Char"/>
    <w:basedOn w:val="956"/>
    <w:link w:val="953"/>
    <w:uiPriority w:val="9"/>
    <w:rPr>
      <w:rFonts w:ascii="Arial" w:hAnsi="Arial" w:eastAsia="Arial" w:cs="Arial"/>
      <w:sz w:val="34"/>
    </w:rPr>
  </w:style>
  <w:style w:type="character" w:styleId="784">
    <w:name w:val="Heading 3 Char"/>
    <w:basedOn w:val="956"/>
    <w:link w:val="954"/>
    <w:uiPriority w:val="9"/>
    <w:rPr>
      <w:rFonts w:ascii="Arial" w:hAnsi="Arial" w:eastAsia="Arial" w:cs="Arial"/>
      <w:sz w:val="30"/>
      <w:szCs w:val="30"/>
    </w:rPr>
  </w:style>
  <w:style w:type="character" w:styleId="785">
    <w:name w:val="Heading 4 Char"/>
    <w:basedOn w:val="956"/>
    <w:link w:val="955"/>
    <w:uiPriority w:val="9"/>
    <w:rPr>
      <w:rFonts w:ascii="Arial" w:hAnsi="Arial" w:eastAsia="Arial" w:cs="Arial"/>
      <w:b/>
      <w:bCs/>
      <w:sz w:val="26"/>
      <w:szCs w:val="26"/>
    </w:rPr>
  </w:style>
  <w:style w:type="paragraph" w:styleId="786">
    <w:name w:val="Heading 5"/>
    <w:basedOn w:val="952"/>
    <w:next w:val="952"/>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basedOn w:val="956"/>
    <w:link w:val="786"/>
    <w:uiPriority w:val="9"/>
    <w:rPr>
      <w:rFonts w:ascii="Arial" w:hAnsi="Arial" w:eastAsia="Arial" w:cs="Arial"/>
      <w:b/>
      <w:bCs/>
      <w:sz w:val="24"/>
      <w:szCs w:val="24"/>
    </w:rPr>
  </w:style>
  <w:style w:type="paragraph" w:styleId="788">
    <w:name w:val="Heading 6"/>
    <w:basedOn w:val="952"/>
    <w:next w:val="952"/>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56"/>
    <w:link w:val="788"/>
    <w:uiPriority w:val="9"/>
    <w:rPr>
      <w:rFonts w:ascii="Arial" w:hAnsi="Arial" w:eastAsia="Arial" w:cs="Arial"/>
      <w:b/>
      <w:bCs/>
      <w:sz w:val="22"/>
      <w:szCs w:val="22"/>
    </w:rPr>
  </w:style>
  <w:style w:type="paragraph" w:styleId="790">
    <w:name w:val="Heading 7"/>
    <w:basedOn w:val="952"/>
    <w:next w:val="952"/>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56"/>
    <w:link w:val="790"/>
    <w:uiPriority w:val="9"/>
    <w:rPr>
      <w:rFonts w:ascii="Arial" w:hAnsi="Arial" w:eastAsia="Arial" w:cs="Arial"/>
      <w:b/>
      <w:bCs/>
      <w:i/>
      <w:iCs/>
      <w:sz w:val="22"/>
      <w:szCs w:val="22"/>
    </w:rPr>
  </w:style>
  <w:style w:type="paragraph" w:styleId="792">
    <w:name w:val="Heading 8"/>
    <w:basedOn w:val="952"/>
    <w:next w:val="952"/>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56"/>
    <w:link w:val="792"/>
    <w:uiPriority w:val="9"/>
    <w:rPr>
      <w:rFonts w:ascii="Arial" w:hAnsi="Arial" w:eastAsia="Arial" w:cs="Arial"/>
      <w:i/>
      <w:iCs/>
      <w:sz w:val="22"/>
      <w:szCs w:val="22"/>
    </w:rPr>
  </w:style>
  <w:style w:type="paragraph" w:styleId="794">
    <w:name w:val="Heading 9"/>
    <w:basedOn w:val="952"/>
    <w:next w:val="952"/>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56"/>
    <w:link w:val="79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paragraph" w:styleId="797">
    <w:name w:val="Title"/>
    <w:basedOn w:val="952"/>
    <w:next w:val="952"/>
    <w:link w:val="798"/>
    <w:uiPriority w:val="10"/>
    <w:qFormat/>
    <w:pPr>
      <w:contextualSpacing/>
      <w:spacing w:before="300" w:after="200"/>
    </w:pPr>
    <w:rPr>
      <w:sz w:val="48"/>
      <w:szCs w:val="48"/>
    </w:rPr>
  </w:style>
  <w:style w:type="character" w:styleId="798">
    <w:name w:val="Title Char"/>
    <w:basedOn w:val="956"/>
    <w:link w:val="797"/>
    <w:uiPriority w:val="10"/>
    <w:rPr>
      <w:sz w:val="48"/>
      <w:szCs w:val="48"/>
    </w:rPr>
  </w:style>
  <w:style w:type="paragraph" w:styleId="799">
    <w:name w:val="Subtitle"/>
    <w:basedOn w:val="952"/>
    <w:next w:val="952"/>
    <w:link w:val="800"/>
    <w:uiPriority w:val="11"/>
    <w:qFormat/>
    <w:pPr>
      <w:spacing w:before="200" w:after="200"/>
    </w:pPr>
    <w:rPr>
      <w:sz w:val="24"/>
      <w:szCs w:val="24"/>
    </w:rPr>
  </w:style>
  <w:style w:type="character" w:styleId="800">
    <w:name w:val="Subtitle Char"/>
    <w:basedOn w:val="956"/>
    <w:link w:val="799"/>
    <w:uiPriority w:val="11"/>
    <w:rPr>
      <w:sz w:val="24"/>
      <w:szCs w:val="24"/>
    </w:rPr>
  </w:style>
  <w:style w:type="paragraph" w:styleId="801">
    <w:name w:val="Quote"/>
    <w:basedOn w:val="952"/>
    <w:next w:val="952"/>
    <w:link w:val="802"/>
    <w:uiPriority w:val="29"/>
    <w:qFormat/>
    <w:pPr>
      <w:ind w:left="720" w:right="720"/>
    </w:pPr>
    <w:rPr>
      <w:i/>
    </w:rPr>
  </w:style>
  <w:style w:type="character" w:styleId="802">
    <w:name w:val="Quote Char"/>
    <w:link w:val="801"/>
    <w:uiPriority w:val="29"/>
    <w:rPr>
      <w:i/>
    </w:rPr>
  </w:style>
  <w:style w:type="paragraph" w:styleId="803">
    <w:name w:val="Intense Quote"/>
    <w:basedOn w:val="952"/>
    <w:next w:val="95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56"/>
    <w:link w:val="965"/>
    <w:uiPriority w:val="99"/>
  </w:style>
  <w:style w:type="character" w:styleId="806">
    <w:name w:val="Footer Char"/>
    <w:basedOn w:val="956"/>
    <w:link w:val="964"/>
    <w:uiPriority w:val="99"/>
  </w:style>
  <w:style w:type="paragraph" w:styleId="807">
    <w:name w:val="Caption"/>
    <w:basedOn w:val="952"/>
    <w:next w:val="952"/>
    <w:uiPriority w:val="35"/>
    <w:semiHidden/>
    <w:unhideWhenUsed/>
    <w:qFormat/>
    <w:pPr>
      <w:spacing w:line="276" w:lineRule="auto"/>
    </w:pPr>
    <w:rPr>
      <w:b/>
      <w:bCs/>
      <w:color w:val="4f81bd" w:themeColor="accent1"/>
      <w:sz w:val="18"/>
      <w:szCs w:val="18"/>
    </w:rPr>
  </w:style>
  <w:style w:type="character" w:styleId="808">
    <w:name w:val="Caption Char"/>
    <w:basedOn w:val="807"/>
    <w:link w:val="964"/>
    <w:uiPriority w:val="99"/>
  </w:style>
  <w:style w:type="table" w:styleId="809">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5">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6">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7">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8">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9">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0">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7">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1">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2">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3">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4">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5">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7">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8">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9">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0">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1">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2">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1">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2">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3">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4">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5">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6">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8">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9">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0">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1">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2">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3">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2">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3">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4">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5">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6">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7">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6"/>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6"/>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53">
    <w:name w:val="Heading 2"/>
    <w:basedOn w:val="952"/>
    <w:next w:val="95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954">
    <w:name w:val="Heading 3"/>
    <w:basedOn w:val="952"/>
    <w:next w:val="952"/>
    <w:link w:val="986"/>
    <w:uiPriority w:val="0"/>
    <w:unhideWhenUsed/>
    <w:qFormat/>
    <w:pPr>
      <w:keepLines/>
      <w:keepNext/>
      <w:spacing w:before="260" w:beforeAutospacing="0" w:after="260" w:afterAutospacing="0" w:line="413" w:lineRule="auto"/>
      <w:outlineLvl w:val="2"/>
    </w:pPr>
    <w:rPr>
      <w:b/>
      <w:sz w:val="32"/>
    </w:rPr>
  </w:style>
  <w:style w:type="paragraph" w:styleId="955">
    <w:name w:val="Heading 4"/>
    <w:basedOn w:val="952"/>
    <w:next w:val="952"/>
    <w:link w:val="990"/>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character" w:styleId="956" w:default="1">
    <w:name w:val="Default Paragraph Font"/>
    <w:uiPriority w:val="1"/>
    <w:semiHidden/>
    <w:unhideWhenUsed/>
    <w:qFormat/>
  </w:style>
  <w:style w:type="table" w:styleId="95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8">
    <w:name w:val="Normal Indent"/>
    <w:basedOn w:val="952"/>
    <w:uiPriority w:val="99"/>
    <w:qFormat/>
    <w:pPr>
      <w:ind w:firstLine="420"/>
    </w:pPr>
    <w:rPr>
      <w:szCs w:val="20"/>
    </w:rPr>
  </w:style>
  <w:style w:type="paragraph" w:styleId="959">
    <w:name w:val="annotation text"/>
    <w:basedOn w:val="952"/>
    <w:link w:val="984"/>
    <w:uiPriority w:val="0"/>
    <w:qFormat/>
    <w:pPr>
      <w:jc w:val="left"/>
    </w:pPr>
  </w:style>
  <w:style w:type="paragraph" w:styleId="960">
    <w:name w:val="Body Text"/>
    <w:basedOn w:val="952"/>
    <w:uiPriority w:val="0"/>
    <w:semiHidden/>
    <w:qFormat/>
    <w:rPr>
      <w:rFonts w:ascii="仿宋" w:hAnsi="仿宋" w:eastAsia="仿宋" w:cs="仿宋"/>
      <w:sz w:val="31"/>
      <w:szCs w:val="31"/>
      <w:lang w:eastAsia="en-US"/>
    </w:rPr>
  </w:style>
  <w:style w:type="paragraph" w:styleId="961">
    <w:name w:val="Body Text Indent"/>
    <w:basedOn w:val="952"/>
    <w:next w:val="962"/>
    <w:link w:val="989"/>
    <w:uiPriority w:val="99"/>
    <w:qFormat/>
    <w:pPr>
      <w:ind w:firstLine="645"/>
    </w:pPr>
    <w:rPr>
      <w:rFonts w:ascii="楷体_GB2312" w:eastAsia="楷体_GB2312"/>
      <w:sz w:val="32"/>
      <w:szCs w:val="32"/>
    </w:rPr>
  </w:style>
  <w:style w:type="paragraph" w:styleId="962">
    <w:name w:val="envelope return"/>
    <w:basedOn w:val="952"/>
    <w:uiPriority w:val="99"/>
    <w:unhideWhenUsed/>
    <w:qFormat/>
    <w:rPr>
      <w:rFonts w:ascii="Arial" w:hAnsi="Arial"/>
    </w:rPr>
  </w:style>
  <w:style w:type="paragraph" w:styleId="963">
    <w:name w:val="Plain Text"/>
    <w:basedOn w:val="952"/>
    <w:link w:val="987"/>
    <w:uiPriority w:val="99"/>
    <w:qFormat/>
    <w:pPr>
      <w:spacing w:line="400" w:lineRule="exact"/>
    </w:pPr>
    <w:rPr>
      <w:rFonts w:ascii="宋体" w:hAnsi="Courier New"/>
      <w:sz w:val="24"/>
      <w:szCs w:val="20"/>
    </w:rPr>
  </w:style>
  <w:style w:type="paragraph" w:styleId="964">
    <w:name w:val="Footer"/>
    <w:basedOn w:val="952"/>
    <w:link w:val="976"/>
    <w:uiPriority w:val="0"/>
    <w:qFormat/>
    <w:pPr>
      <w:jc w:val="left"/>
      <w:tabs>
        <w:tab w:val="center" w:pos="4153" w:leader="none"/>
        <w:tab w:val="right" w:pos="8306" w:leader="none"/>
      </w:tabs>
    </w:pPr>
    <w:rPr>
      <w:sz w:val="18"/>
      <w:szCs w:val="18"/>
    </w:rPr>
  </w:style>
  <w:style w:type="paragraph" w:styleId="965">
    <w:name w:val="Header"/>
    <w:basedOn w:val="952"/>
    <w:link w:val="975"/>
    <w:uiPriority w:val="0"/>
    <w:qFormat/>
    <w:pPr>
      <w:jc w:val="center"/>
      <w:tabs>
        <w:tab w:val="center" w:pos="4153" w:leader="none"/>
        <w:tab w:val="right" w:pos="8306" w:leader="none"/>
      </w:tabs>
      <w:pBdr>
        <w:bottom w:val="single" w:color="auto" w:sz="6" w:space="1"/>
      </w:pBdr>
    </w:pPr>
    <w:rPr>
      <w:sz w:val="18"/>
      <w:szCs w:val="18"/>
    </w:rPr>
  </w:style>
  <w:style w:type="paragraph" w:styleId="966">
    <w:name w:val="Normal (Web)"/>
    <w:basedOn w:val="952"/>
    <w:uiPriority w:val="0"/>
    <w:qFormat/>
    <w:pPr>
      <w:jc w:val="left"/>
      <w:spacing w:beforeAutospacing="1" w:afterAutospacing="1"/>
    </w:pPr>
    <w:rPr>
      <w:rFonts w:cs="Times New Roman"/>
      <w:sz w:val="24"/>
    </w:rPr>
  </w:style>
  <w:style w:type="paragraph" w:styleId="967">
    <w:name w:val="annotation subject"/>
    <w:basedOn w:val="959"/>
    <w:next w:val="959"/>
    <w:link w:val="985"/>
    <w:uiPriority w:val="0"/>
    <w:qFormat/>
    <w:rPr>
      <w:b/>
      <w:bCs/>
    </w:rPr>
  </w:style>
  <w:style w:type="paragraph" w:styleId="968">
    <w:name w:val="Body Text First Indent"/>
    <w:basedOn w:val="960"/>
    <w:uiPriority w:val="99"/>
    <w:unhideWhenUsed/>
    <w:qFormat/>
    <w:pPr>
      <w:ind w:firstLine="420"/>
      <w:jc w:val="both"/>
      <w:spacing w:after="120"/>
      <w:widowControl w:val="off"/>
    </w:pPr>
    <w:rPr>
      <w:rFonts w:ascii="Calibri" w:hAnsi="Calibri" w:eastAsia="宋体" w:cs="Times New Roman"/>
      <w:sz w:val="21"/>
      <w:szCs w:val="24"/>
      <w:lang w:val="en-US" w:eastAsia="zh-CN" w:bidi="ar-SA"/>
    </w:rPr>
  </w:style>
  <w:style w:type="paragraph" w:styleId="969">
    <w:name w:val="Body Text First Indent 2"/>
    <w:basedOn w:val="961"/>
    <w:uiPriority w:val="99"/>
    <w:qFormat/>
    <w:pPr>
      <w:ind w:firstLine="420"/>
      <w:spacing w:line="360" w:lineRule="auto"/>
    </w:pPr>
    <w:rPr>
      <w:rFonts w:ascii="宋体" w:hAnsi="宋体" w:eastAsia="宋体"/>
      <w:sz w:val="21"/>
      <w:szCs w:val="20"/>
    </w:rPr>
  </w:style>
  <w:style w:type="table" w:styleId="970">
    <w:name w:val="Table Grid"/>
    <w:basedOn w:val="9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basedOn w:val="956"/>
    <w:uiPriority w:val="0"/>
    <w:qFormat/>
    <w:rPr>
      <w:b/>
    </w:rPr>
  </w:style>
  <w:style w:type="character" w:styleId="972">
    <w:name w:val="annotation reference"/>
    <w:basedOn w:val="956"/>
    <w:uiPriority w:val="0"/>
    <w:qFormat/>
    <w:rPr>
      <w:sz w:val="21"/>
      <w:szCs w:val="21"/>
    </w:rPr>
  </w:style>
  <w:style w:type="paragraph" w:styleId="973" w:customStyle="1">
    <w:name w:val="索引 41"/>
    <w:basedOn w:val="952"/>
    <w:next w:val="952"/>
    <w:uiPriority w:val="99"/>
    <w:unhideWhenUsed/>
    <w:qFormat/>
    <w:pPr>
      <w:ind w:left="600"/>
      <w:spacing w:before="100" w:beforeAutospacing="1" w:after="100" w:afterAutospacing="1"/>
    </w:pPr>
    <w:rPr>
      <w:rFonts w:ascii="宋体"/>
      <w:b/>
      <w:bCs/>
      <w:position w:val="-10"/>
      <w:sz w:val="24"/>
      <w:szCs w:val="22"/>
    </w:rPr>
  </w:style>
  <w:style w:type="paragraph" w:styleId="974" w:customStyle="1">
    <w:name w:val="Default"/>
    <w:basedOn w:val="952"/>
    <w:uiPriority w:val="0"/>
    <w:semiHidden/>
    <w:qFormat/>
    <w:pPr>
      <w:jc w:val="left"/>
    </w:pPr>
    <w:rPr>
      <w:rFonts w:ascii="宋体" w:hAnsi="Calibri" w:cs="宋体"/>
      <w:color w:val="000000"/>
      <w:sz w:val="24"/>
    </w:rPr>
  </w:style>
  <w:style w:type="character" w:styleId="975" w:customStyle="1">
    <w:name w:val="页眉 字符"/>
    <w:basedOn w:val="956"/>
    <w:link w:val="965"/>
    <w:uiPriority w:val="0"/>
    <w:qFormat/>
    <w:rPr>
      <w:rFonts w:asciiTheme="minorHAnsi" w:hAnsiTheme="minorHAnsi" w:eastAsiaTheme="minorEastAsia" w:cstheme="minorBidi"/>
      <w:sz w:val="18"/>
      <w:szCs w:val="18"/>
    </w:rPr>
  </w:style>
  <w:style w:type="character" w:styleId="976" w:customStyle="1">
    <w:name w:val="页脚 字符"/>
    <w:basedOn w:val="956"/>
    <w:link w:val="964"/>
    <w:uiPriority w:val="0"/>
    <w:qFormat/>
    <w:rPr>
      <w:rFonts w:asciiTheme="minorHAnsi" w:hAnsiTheme="minorHAnsi" w:eastAsiaTheme="minorEastAsia" w:cstheme="minorBidi"/>
      <w:sz w:val="18"/>
      <w:szCs w:val="18"/>
    </w:rPr>
  </w:style>
  <w:style w:type="paragraph" w:styleId="977" w:customStyle="1">
    <w:name w:val="普通正文"/>
    <w:basedOn w:val="952"/>
    <w:uiPriority w:val="0"/>
    <w:qFormat/>
    <w:pPr>
      <w:ind w:firstLine="480"/>
      <w:jc w:val="left"/>
      <w:spacing w:before="120" w:after="120" w:line="360" w:lineRule="auto"/>
    </w:pPr>
    <w:rPr>
      <w:rFonts w:ascii="Arial" w:hAnsi="Arial" w:eastAsia="等线" w:cs="Arial"/>
      <w:sz w:val="24"/>
    </w:rPr>
  </w:style>
  <w:style w:type="paragraph" w:styleId="978" w:customStyle="1">
    <w:name w:val="正文首行缩进 21"/>
    <w:basedOn w:val="979"/>
    <w:uiPriority w:val="0"/>
    <w:qFormat/>
    <w:pPr>
      <w:ind w:firstLine="420"/>
    </w:pPr>
  </w:style>
  <w:style w:type="paragraph" w:styleId="979" w:customStyle="1">
    <w:name w:val="正文文本缩进1"/>
    <w:basedOn w:val="952"/>
    <w:uiPriority w:val="0"/>
    <w:qFormat/>
    <w:pPr>
      <w:ind w:left="420"/>
      <w:spacing w:after="120"/>
    </w:pPr>
  </w:style>
  <w:style w:type="paragraph" w:styleId="980">
    <w:name w:val="List Paragraph"/>
    <w:basedOn w:val="952"/>
    <w:uiPriority w:val="34"/>
    <w:qFormat/>
    <w:pPr>
      <w:ind w:firstLine="420"/>
    </w:pPr>
  </w:style>
  <w:style w:type="paragraph" w:styleId="981" w:customStyle="1">
    <w:name w:val="纯文本1"/>
    <w:basedOn w:val="952"/>
    <w:uiPriority w:val="0"/>
    <w:qFormat/>
    <w:rPr>
      <w:rFonts w:ascii="宋体" w:hAnsi="Courier New" w:eastAsia="楷体_GB2312"/>
      <w:sz w:val="26"/>
      <w:szCs w:val="20"/>
    </w:rPr>
  </w:style>
  <w:style w:type="character" w:styleId="982" w:customStyle="1">
    <w:name w:val="font21"/>
    <w:basedOn w:val="956"/>
    <w:uiPriority w:val="0"/>
    <w:qFormat/>
    <w:rPr>
      <w:rFonts w:hint="eastAsia" w:ascii="宋体" w:hAnsi="宋体" w:eastAsia="宋体" w:cs="宋体"/>
      <w:color w:val="000000"/>
      <w:sz w:val="22"/>
      <w:szCs w:val="22"/>
      <w:u w:val="none"/>
    </w:rPr>
  </w:style>
  <w:style w:type="paragraph" w:styleId="983" w:customStyle="1">
    <w:name w:val="纯文本11"/>
    <w:basedOn w:val="952"/>
    <w:uiPriority w:val="0"/>
    <w:qFormat/>
    <w:rPr>
      <w:rFonts w:ascii="宋体" w:hAnsi="Courier New" w:eastAsia="楷体_GB2312"/>
      <w:sz w:val="26"/>
      <w:szCs w:val="20"/>
    </w:rPr>
  </w:style>
  <w:style w:type="character" w:styleId="984" w:customStyle="1">
    <w:name w:val="批注文字 字符"/>
    <w:basedOn w:val="956"/>
    <w:link w:val="959"/>
    <w:uiPriority w:val="0"/>
    <w:qFormat/>
    <w:rPr>
      <w:rFonts w:asciiTheme="minorHAnsi" w:hAnsiTheme="minorHAnsi" w:eastAsiaTheme="minorEastAsia" w:cstheme="minorBidi"/>
      <w:sz w:val="21"/>
      <w:szCs w:val="24"/>
    </w:rPr>
  </w:style>
  <w:style w:type="character" w:styleId="985" w:customStyle="1">
    <w:name w:val="批注主题 字符"/>
    <w:basedOn w:val="984"/>
    <w:link w:val="967"/>
    <w:uiPriority w:val="0"/>
    <w:qFormat/>
    <w:rPr>
      <w:rFonts w:asciiTheme="minorHAnsi" w:hAnsiTheme="minorHAnsi" w:eastAsiaTheme="minorEastAsia" w:cstheme="minorBidi"/>
      <w:b/>
      <w:bCs/>
      <w:sz w:val="21"/>
      <w:szCs w:val="24"/>
    </w:rPr>
  </w:style>
  <w:style w:type="character" w:styleId="986" w:customStyle="1">
    <w:name w:val="标题 3 字符"/>
    <w:basedOn w:val="956"/>
    <w:link w:val="954"/>
    <w:uiPriority w:val="0"/>
    <w:qFormat/>
    <w:rPr>
      <w:rFonts w:ascii="Calibri Light" w:hAnsi="Calibri Light" w:eastAsia="宋体" w:cs="Times New Roman"/>
      <w:color w:val="2e74b5"/>
      <w:sz w:val="32"/>
      <w:szCs w:val="32"/>
    </w:rPr>
  </w:style>
  <w:style w:type="character" w:styleId="987" w:customStyle="1">
    <w:name w:val="纯文本 字符"/>
    <w:basedOn w:val="956"/>
    <w:link w:val="963"/>
    <w:uiPriority w:val="0"/>
    <w:qFormat/>
    <w:rPr>
      <w:rFonts w:hint="eastAsia" w:ascii="宋体" w:hAnsi="Courier New" w:eastAsia="宋体" w:cs="Courier New"/>
      <w:sz w:val="21"/>
      <w:szCs w:val="21"/>
    </w:rPr>
  </w:style>
  <w:style w:type="paragraph" w:styleId="988" w:customStyle="1">
    <w:name w:val="正文空2格  1."/>
    <w:basedOn w:val="952"/>
    <w:uiPriority w:val="0"/>
    <w:qFormat/>
    <w:pPr>
      <w:ind w:left="0" w:right="0" w:firstLine="480"/>
      <w:jc w:val="both"/>
      <w:keepLines w:val="0"/>
      <w:keepNext w:val="0"/>
      <w:spacing w:before="0" w:beforeAutospacing="0" w:after="0" w:afterAutospacing="0"/>
      <w:widowControl w:val="off"/>
      <w:suppressLineNumbers w:val="0"/>
    </w:pPr>
    <w:rPr>
      <w:rFonts w:hint="default" w:ascii="Calibri" w:hAnsi="Calibri" w:eastAsia="宋体" w:cs="宋体"/>
      <w:sz w:val="21"/>
      <w:szCs w:val="20"/>
      <w:lang w:val="en-US" w:eastAsia="zh-CN" w:bidi="ar"/>
    </w:rPr>
  </w:style>
  <w:style w:type="character" w:styleId="989" w:customStyle="1">
    <w:name w:val="正文文本缩进 字符"/>
    <w:basedOn w:val="956"/>
    <w:link w:val="961"/>
    <w:uiPriority w:val="0"/>
    <w:qFormat/>
    <w:rPr>
      <w:rFonts w:hint="default" w:ascii="Calibri" w:hAnsi="Calibri" w:cs="Calibri"/>
    </w:rPr>
  </w:style>
  <w:style w:type="character" w:styleId="990" w:customStyle="1">
    <w:name w:val="标题 4 字符"/>
    <w:basedOn w:val="956"/>
    <w:link w:val="955"/>
    <w:uiPriority w:val="0"/>
    <w:qFormat/>
    <w:rPr>
      <w:rFonts w:ascii="Arial" w:hAnsi="Arial" w:eastAsia="宋体" w:cs="Times New Roman"/>
      <w:color w:val="365f91"/>
      <w:sz w:val="28"/>
      <w:szCs w:val="28"/>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72E2206-4DB2-475E-BD35-6BE9B3838E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宗美娟</cp:lastModifiedBy>
  <cp:revision>4</cp:revision>
  <dcterms:created xsi:type="dcterms:W3CDTF">2025-07-23T03:33:00Z</dcterms:created>
  <dcterms:modified xsi:type="dcterms:W3CDTF">2026-05-05T08:29:28Z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E68DDC231D964F5E8D2BBF2F9A128CD1_13</vt:lpwstr>
  </property>
  <property fmtid="{D5CDD505-2E9C-101B-9397-08002B2CF9AE}" pid="4" name="KSOTemplateDocerSaveRecord">
    <vt:lpwstr>eyJoZGlkIjoiNmRjYmUzZDJjNzMzYTdiODNkZDkzNzEyMjU4OTUyODMiLCJ1c2VySWQiOiI1MTI2OTMwMTQifQ==</vt:lpwstr>
  </property>
</Properties>
</file>